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0A3DE9" w14:textId="77777777" w:rsidR="00043142" w:rsidRDefault="00043142" w:rsidP="00043142">
      <w:pPr>
        <w:spacing w:before="0"/>
        <w:jc w:val="center"/>
        <w:rPr>
          <w:rFonts w:eastAsiaTheme="minorHAnsi"/>
          <w:b/>
          <w:bCs/>
          <w:caps/>
          <w:sz w:val="24"/>
          <w:szCs w:val="22"/>
          <w:lang w:eastAsia="en-US"/>
        </w:rPr>
      </w:pPr>
      <w:r w:rsidRPr="00043142">
        <w:rPr>
          <w:rFonts w:eastAsiaTheme="minorHAnsi"/>
          <w:b/>
          <w:bCs/>
          <w:caps/>
          <w:sz w:val="24"/>
          <w:szCs w:val="22"/>
          <w:lang w:eastAsia="en-US"/>
        </w:rPr>
        <w:t>TIANGON-1 RE-ENTRY FOLLOW-UP BY CNES</w:t>
      </w:r>
    </w:p>
    <w:p w14:paraId="7155173E" w14:textId="02C9498D" w:rsidR="00AE0A5D" w:rsidRPr="00043142" w:rsidRDefault="00043142" w:rsidP="00F1090D">
      <w:pPr>
        <w:spacing w:before="0" w:after="0"/>
        <w:jc w:val="center"/>
        <w:rPr>
          <w:i/>
          <w:sz w:val="24"/>
          <w:szCs w:val="24"/>
          <w:vertAlign w:val="superscript"/>
        </w:rPr>
      </w:pPr>
      <w:r w:rsidRPr="00043142">
        <w:rPr>
          <w:i/>
          <w:sz w:val="24"/>
          <w:szCs w:val="24"/>
        </w:rPr>
        <w:t xml:space="preserve">A. </w:t>
      </w:r>
      <w:proofErr w:type="gramStart"/>
      <w:r w:rsidRPr="00043142">
        <w:rPr>
          <w:i/>
          <w:sz w:val="24"/>
          <w:szCs w:val="24"/>
        </w:rPr>
        <w:t>Bellucci</w:t>
      </w:r>
      <w:r w:rsidRPr="00043142">
        <w:rPr>
          <w:i/>
          <w:sz w:val="24"/>
          <w:szCs w:val="24"/>
          <w:vertAlign w:val="superscript"/>
        </w:rPr>
        <w:t>(</w:t>
      </w:r>
      <w:proofErr w:type="gramEnd"/>
      <w:r w:rsidRPr="00043142">
        <w:rPr>
          <w:i/>
          <w:sz w:val="24"/>
          <w:szCs w:val="24"/>
          <w:vertAlign w:val="superscript"/>
        </w:rPr>
        <w:t>1)</w:t>
      </w:r>
      <w:r w:rsidRPr="00043142">
        <w:rPr>
          <w:i/>
          <w:sz w:val="24"/>
          <w:szCs w:val="24"/>
        </w:rPr>
        <w:t>, J.F. Goester</w:t>
      </w:r>
      <w:r w:rsidRPr="00043142">
        <w:rPr>
          <w:i/>
          <w:sz w:val="24"/>
          <w:szCs w:val="24"/>
          <w:vertAlign w:val="superscript"/>
        </w:rPr>
        <w:t>(2)</w:t>
      </w:r>
      <w:r w:rsidRPr="00043142">
        <w:rPr>
          <w:i/>
          <w:sz w:val="24"/>
          <w:szCs w:val="24"/>
        </w:rPr>
        <w:t xml:space="preserve">, </w:t>
      </w:r>
      <w:proofErr w:type="spellStart"/>
      <w:r w:rsidRPr="00043142">
        <w:rPr>
          <w:i/>
          <w:sz w:val="24"/>
          <w:szCs w:val="24"/>
        </w:rPr>
        <w:t>P.Omaly</w:t>
      </w:r>
      <w:proofErr w:type="spellEnd"/>
      <w:r w:rsidRPr="00043142">
        <w:rPr>
          <w:i/>
          <w:sz w:val="24"/>
          <w:szCs w:val="24"/>
          <w:vertAlign w:val="superscript"/>
        </w:rPr>
        <w:t>(3)</w:t>
      </w:r>
      <w:r w:rsidRPr="00043142">
        <w:rPr>
          <w:i/>
          <w:sz w:val="24"/>
          <w:szCs w:val="24"/>
        </w:rPr>
        <w:t>, S. Christy</w:t>
      </w:r>
      <w:r w:rsidRPr="00043142">
        <w:rPr>
          <w:i/>
          <w:sz w:val="24"/>
          <w:szCs w:val="24"/>
          <w:vertAlign w:val="superscript"/>
        </w:rPr>
        <w:t>(4)</w:t>
      </w:r>
      <w:r w:rsidRPr="00043142">
        <w:rPr>
          <w:i/>
          <w:sz w:val="24"/>
          <w:szCs w:val="24"/>
        </w:rPr>
        <w:t>, F. Delmas</w:t>
      </w:r>
      <w:r w:rsidRPr="00043142">
        <w:rPr>
          <w:i/>
          <w:sz w:val="24"/>
          <w:szCs w:val="24"/>
          <w:vertAlign w:val="superscript"/>
        </w:rPr>
        <w:t>(5)</w:t>
      </w:r>
    </w:p>
    <w:p w14:paraId="3B74B540" w14:textId="77777777" w:rsidR="00043142" w:rsidRDefault="00AE0A5D" w:rsidP="00362B5B">
      <w:pPr>
        <w:spacing w:before="0" w:after="0"/>
        <w:jc w:val="center"/>
        <w:rPr>
          <w:sz w:val="22"/>
          <w:szCs w:val="22"/>
        </w:rPr>
      </w:pPr>
      <w:r w:rsidRPr="00043142">
        <w:rPr>
          <w:sz w:val="22"/>
          <w:szCs w:val="22"/>
        </w:rPr>
        <w:t xml:space="preserve"> (1) CNES, 18, Av. </w:t>
      </w:r>
      <w:r w:rsidRPr="000450E4">
        <w:rPr>
          <w:sz w:val="22"/>
          <w:szCs w:val="22"/>
        </w:rPr>
        <w:t xml:space="preserve">Edouard Belin, 31401 Toulouse </w:t>
      </w:r>
      <w:proofErr w:type="spellStart"/>
      <w:r w:rsidRPr="000450E4">
        <w:rPr>
          <w:sz w:val="22"/>
          <w:szCs w:val="22"/>
        </w:rPr>
        <w:t>Cedex</w:t>
      </w:r>
      <w:proofErr w:type="spellEnd"/>
      <w:r w:rsidRPr="000450E4">
        <w:rPr>
          <w:sz w:val="22"/>
          <w:szCs w:val="22"/>
        </w:rPr>
        <w:t xml:space="preserve"> 9, France, </w:t>
      </w:r>
    </w:p>
    <w:p w14:paraId="6869A6D9" w14:textId="4ACD3C4B" w:rsidR="00AE0A5D" w:rsidRDefault="00AE0A5D" w:rsidP="00043142">
      <w:pPr>
        <w:spacing w:before="0" w:after="0"/>
        <w:jc w:val="center"/>
        <w:rPr>
          <w:sz w:val="22"/>
          <w:szCs w:val="22"/>
        </w:rPr>
      </w:pPr>
      <w:r w:rsidRPr="000450E4">
        <w:rPr>
          <w:sz w:val="22"/>
          <w:szCs w:val="22"/>
        </w:rPr>
        <w:t xml:space="preserve">Email: </w:t>
      </w:r>
      <w:r w:rsidR="00043142">
        <w:rPr>
          <w:sz w:val="22"/>
          <w:szCs w:val="22"/>
        </w:rPr>
        <w:t>aurelie.bellucci@cnes.fr, jean-francois.goester@cnes.fr,</w:t>
      </w:r>
      <w:r w:rsidR="00043142" w:rsidRPr="00043142">
        <w:rPr>
          <w:sz w:val="22"/>
          <w:szCs w:val="22"/>
        </w:rPr>
        <w:t xml:space="preserve"> pierre.omaly@cnes.fr, stephane.christy@cnes.fr, florian.delmas@cnes.fr</w:t>
      </w:r>
    </w:p>
    <w:p w14:paraId="2C619680" w14:textId="77777777" w:rsidR="00043142" w:rsidRPr="000450E4" w:rsidRDefault="00043142" w:rsidP="00043142">
      <w:pPr>
        <w:spacing w:before="0" w:after="0"/>
        <w:jc w:val="center"/>
        <w:rPr>
          <w:sz w:val="22"/>
          <w:szCs w:val="22"/>
        </w:rPr>
      </w:pPr>
    </w:p>
    <w:p w14:paraId="430DEEA1" w14:textId="77777777" w:rsidR="00A038E0" w:rsidRPr="00043142" w:rsidRDefault="00A038E0" w:rsidP="00F1090D">
      <w:pPr>
        <w:spacing w:before="0"/>
        <w:jc w:val="center"/>
      </w:pPr>
    </w:p>
    <w:p w14:paraId="0888805E" w14:textId="77777777" w:rsidR="00A038E0" w:rsidRPr="00043142" w:rsidRDefault="00A038E0">
      <w:pPr>
        <w:sectPr w:rsidR="00A038E0" w:rsidRPr="00043142">
          <w:footnotePr>
            <w:pos w:val="beneathText"/>
          </w:footnotePr>
          <w:pgSz w:w="12240" w:h="15840"/>
          <w:pgMar w:top="1985" w:right="1080" w:bottom="1411" w:left="1080" w:header="720" w:footer="720" w:gutter="0"/>
          <w:cols w:space="720"/>
          <w:docGrid w:linePitch="360"/>
        </w:sectPr>
      </w:pPr>
    </w:p>
    <w:p w14:paraId="04980555" w14:textId="77777777" w:rsidR="00AE0A5D" w:rsidRPr="000450E4" w:rsidRDefault="00AE0A5D" w:rsidP="00362B5B">
      <w:pPr>
        <w:spacing w:before="0"/>
        <w:jc w:val="center"/>
        <w:rPr>
          <w:b/>
          <w:caps/>
        </w:rPr>
      </w:pPr>
      <w:r w:rsidRPr="000450E4">
        <w:rPr>
          <w:b/>
          <w:caps/>
        </w:rPr>
        <w:t>Abstract</w:t>
      </w:r>
    </w:p>
    <w:p w14:paraId="7B9907CA" w14:textId="50F2F63C" w:rsidR="00043142" w:rsidRDefault="00043142" w:rsidP="00043142">
      <w:pPr>
        <w:jc w:val="both"/>
      </w:pPr>
      <w:r>
        <w:t xml:space="preserve">As French National Space Agency, CNES is in charge of monitoring safety requirements for people and property related to space operation as defined in French Space Operation Act (FSOA). To evaluate these requirements, and in particular to be able to assess the compliance with safety threshold, CNES has developed its own tools, DEBRISK and ELECTRA. DEBRISK software computes the ablation of the satellite and its components all along the reentry trajectory. This object-oriented code combines models for aerodynamic, </w:t>
      </w:r>
      <w:proofErr w:type="spellStart"/>
      <w:r>
        <w:t>aerothermodynamic</w:t>
      </w:r>
      <w:proofErr w:type="spellEnd"/>
      <w:r>
        <w:t xml:space="preserve"> and heat transfer. It supplies a list of surviving objects with their physical on-ground characteristics. This list is then used as an input for the ELECTRA software. ELECTRA software is designed to estimate human casualty risk during launch and controlled or uncontrolled re-entry. Using Monte-Carlo simulations, dispersion of various parameters as for example characteristics of surviving fragments and population grids, Electra computes the probability of incurring at least one victim on ground, the expected value of the number of victims and the impact risk per country. Among the four computation modes of Electra, the RF mode (final re-entry) is dedicated to the computation of risk a few hours or days before the un-controlled reentry of a space object. </w:t>
      </w:r>
    </w:p>
    <w:p w14:paraId="215FDF37" w14:textId="2A8D26CD" w:rsidR="00043142" w:rsidRDefault="00043142" w:rsidP="00043142">
      <w:pPr>
        <w:jc w:val="both"/>
      </w:pPr>
      <w:r>
        <w:t>One particular case of use of ELECTRA and DEBRISK occurred in 2018, when the Chinese space station Tiangon-1 re-entered the atmosphere and felt in the South Pacific Ocean on April 2nd. With 8,5 tons, this uncontrolled reentry was of large interest, nevertheless not concerned by the French Space Operation Act. In the frame of this high risk reentry, CNES made use of its flight dynamics technical expertise, the observation means activated through national and international cooperation and a variety of tools, both operational and expertise tools, as ELECTRA and DEBRISK, to predict the reentry date and location as well as the on-ground casualty risk evolution inferred by this high risk reentry.</w:t>
      </w:r>
    </w:p>
    <w:p w14:paraId="4B83CB05" w14:textId="14C8528B" w:rsidR="00AE0A5D" w:rsidRDefault="00043142" w:rsidP="00043142">
      <w:pPr>
        <w:jc w:val="both"/>
      </w:pPr>
      <w:r>
        <w:t xml:space="preserve">First, this paper presents how the Tiangon-1 space station was modelled and how the ablation phenomena, induced by the atmospheric reentry, was computed using DEBRISK tool. Second, this paper deals with the risk computation using ELECTRA tool via its final reentry (RF) mode. The orbital parameters used as inputs for these tools were provided by </w:t>
      </w:r>
      <w:r>
        <w:t>OCC (Orbit Computation Center) division in CNES who’s in charge of operational orbit determination and to operationally estimate the reentry point and date of reentries considered as high risk. The evolution of the orbit and the reentry prediction is presented in parallel with the evolution of the risk assessment.</w:t>
      </w:r>
    </w:p>
    <w:p w14:paraId="64136C1F" w14:textId="77777777" w:rsidR="00B35EF8" w:rsidRPr="000450E4" w:rsidRDefault="00B35EF8" w:rsidP="00043142">
      <w:pPr>
        <w:jc w:val="both"/>
      </w:pPr>
    </w:p>
    <w:p w14:paraId="2F716525" w14:textId="3DF23D34" w:rsidR="00F1090D" w:rsidRPr="00043142" w:rsidRDefault="00043142" w:rsidP="00043142">
      <w:pPr>
        <w:pStyle w:val="Titre1"/>
        <w:rPr>
          <w:lang w:val="en-US"/>
        </w:rPr>
      </w:pPr>
      <w:r w:rsidRPr="00043142">
        <w:rPr>
          <w:lang w:val="en-US"/>
        </w:rPr>
        <w:t>DEBRISK TOOL</w:t>
      </w:r>
    </w:p>
    <w:p w14:paraId="72EDE003" w14:textId="3E0780DE" w:rsidR="00043142" w:rsidRDefault="00043142" w:rsidP="00043142">
      <w:pPr>
        <w:jc w:val="both"/>
        <w:rPr>
          <w:lang w:val="en-GB" w:eastAsia="en-US"/>
        </w:rPr>
      </w:pPr>
      <w:r>
        <w:rPr>
          <w:lang w:val="en-GB"/>
        </w:rPr>
        <w:t>DEBRISK is CNES tool to evaluate fragments survivability during the re-entry of a satellite in the Earth atmosphere. The tool has been developed in JAVA since 2011. The DEBRISK appr</w:t>
      </w:r>
      <w:r w:rsidR="00B35EF8">
        <w:rPr>
          <w:lang w:val="en-GB"/>
        </w:rPr>
        <w:t>oach assumes that the satellite</w:t>
      </w:r>
      <w:r>
        <w:rPr>
          <w:lang w:val="en-GB"/>
        </w:rPr>
        <w:t xml:space="preserve"> is composed of a collection of independent objects modelled by simple forms (sphere, box, cylinder or plates). The most common satellites materials are available to characterize the fragments but new materials can be added for a better modelling of the ablation. </w:t>
      </w:r>
    </w:p>
    <w:p w14:paraId="6A3A2A18" w14:textId="29D2A787" w:rsidR="00043142" w:rsidRDefault="00043142" w:rsidP="00043142">
      <w:pPr>
        <w:jc w:val="both"/>
        <w:rPr>
          <w:lang w:val="en-GB"/>
        </w:rPr>
      </w:pPr>
      <w:r>
        <w:rPr>
          <w:lang w:val="en-GB"/>
        </w:rPr>
        <w:t>The trajectories of the satellite and its fragments are computed using CNES flight dynamics library PATRIUS</w:t>
      </w:r>
      <w:r w:rsidR="00073D98">
        <w:rPr>
          <w:lang w:val="en-GB"/>
        </w:rPr>
        <w:t xml:space="preserve"> </w:t>
      </w:r>
      <w:r w:rsidR="00073D98">
        <w:rPr>
          <w:lang w:val="en-GB"/>
        </w:rPr>
        <w:fldChar w:fldCharType="begin"/>
      </w:r>
      <w:r w:rsidR="00073D98">
        <w:rPr>
          <w:lang w:val="en-GB"/>
        </w:rPr>
        <w:instrText xml:space="preserve"> REF _Ref528591020 \n \h </w:instrText>
      </w:r>
      <w:r w:rsidR="00073D98">
        <w:rPr>
          <w:lang w:val="en-GB"/>
        </w:rPr>
      </w:r>
      <w:r w:rsidR="00073D98">
        <w:rPr>
          <w:lang w:val="en-GB"/>
        </w:rPr>
        <w:fldChar w:fldCharType="separate"/>
      </w:r>
      <w:r w:rsidR="00B276BF">
        <w:rPr>
          <w:lang w:val="en-GB"/>
        </w:rPr>
        <w:t>[1]</w:t>
      </w:r>
      <w:r w:rsidR="00073D98">
        <w:rPr>
          <w:lang w:val="en-GB"/>
        </w:rPr>
        <w:fldChar w:fldCharType="end"/>
      </w:r>
      <w:r>
        <w:rPr>
          <w:lang w:val="en-GB"/>
        </w:rPr>
        <w:t>. First, it’s a simple integration of the equation of motion from the starting point until the fragmentation altitude chosen by the user, typically around 78 km. At this altitude, the satellite breaks up and all the fragments are released. In advanced mode, the ablation of the satellite can be computed allowing a break-up of the satellite above the fragmentation altitude and the release of the fragments at this altitude.</w:t>
      </w:r>
    </w:p>
    <w:p w14:paraId="546DBF92" w14:textId="77777777" w:rsidR="00043142" w:rsidRDefault="00043142" w:rsidP="00043142">
      <w:pPr>
        <w:jc w:val="both"/>
        <w:rPr>
          <w:lang w:val="en-GB"/>
        </w:rPr>
      </w:pPr>
      <w:r>
        <w:rPr>
          <w:lang w:val="en-GB"/>
        </w:rPr>
        <w:t>From the fragmentation altitude, the computation is independent for each fragment. The simulation takes into account:</w:t>
      </w:r>
    </w:p>
    <w:p w14:paraId="115B309D" w14:textId="77777777" w:rsidR="00043142" w:rsidRDefault="00043142" w:rsidP="00043142">
      <w:pPr>
        <w:numPr>
          <w:ilvl w:val="0"/>
          <w:numId w:val="11"/>
        </w:numPr>
        <w:suppressAutoHyphens w:val="0"/>
        <w:spacing w:before="0" w:after="0"/>
        <w:jc w:val="both"/>
        <w:rPr>
          <w:lang w:val="en-GB"/>
        </w:rPr>
      </w:pPr>
      <w:r>
        <w:rPr>
          <w:lang w:val="en-GB"/>
        </w:rPr>
        <w:t>The aerodynamic modelling to determine the drag coefficient used for trajectory computation. We assume that the objects have a random tumbling attitude.</w:t>
      </w:r>
    </w:p>
    <w:p w14:paraId="7264B213" w14:textId="77777777" w:rsidR="00043142" w:rsidRDefault="00043142" w:rsidP="00043142">
      <w:pPr>
        <w:numPr>
          <w:ilvl w:val="0"/>
          <w:numId w:val="11"/>
        </w:numPr>
        <w:suppressAutoHyphens w:val="0"/>
        <w:spacing w:before="0" w:after="0"/>
        <w:jc w:val="both"/>
        <w:rPr>
          <w:lang w:val="en-GB"/>
        </w:rPr>
      </w:pPr>
      <w:r>
        <w:rPr>
          <w:lang w:val="en-GB"/>
        </w:rPr>
        <w:t>The thermal modelling to estimate the heat transfer to the surface of the object and compute the temperature of the fragment. When the melting temperature is reached, ablation of the object begins.</w:t>
      </w:r>
    </w:p>
    <w:p w14:paraId="1C108834" w14:textId="77777777" w:rsidR="00043142" w:rsidRDefault="00043142" w:rsidP="00043142">
      <w:pPr>
        <w:numPr>
          <w:ilvl w:val="0"/>
          <w:numId w:val="11"/>
        </w:numPr>
        <w:suppressAutoHyphens w:val="0"/>
        <w:spacing w:before="0" w:after="0"/>
        <w:jc w:val="both"/>
        <w:rPr>
          <w:lang w:val="en-GB"/>
        </w:rPr>
      </w:pPr>
      <w:r>
        <w:rPr>
          <w:lang w:val="en-GB"/>
        </w:rPr>
        <w:t>The ablation modelling to estimate the amount of material ablated and compute new mass and dimensions at each time steps.</w:t>
      </w:r>
    </w:p>
    <w:p w14:paraId="4145EBC3" w14:textId="77777777" w:rsidR="00043142" w:rsidRDefault="00043142" w:rsidP="00043142">
      <w:pPr>
        <w:numPr>
          <w:ilvl w:val="0"/>
          <w:numId w:val="11"/>
        </w:numPr>
        <w:suppressAutoHyphens w:val="0"/>
        <w:autoSpaceDE w:val="0"/>
        <w:autoSpaceDN w:val="0"/>
        <w:adjustRightInd w:val="0"/>
        <w:spacing w:before="0" w:after="0"/>
        <w:jc w:val="both"/>
        <w:rPr>
          <w:sz w:val="19"/>
          <w:szCs w:val="19"/>
          <w:lang w:eastAsia="fr-FR"/>
        </w:rPr>
      </w:pPr>
      <w:r>
        <w:rPr>
          <w:lang w:val="en-GB"/>
        </w:rPr>
        <w:t xml:space="preserve">The </w:t>
      </w:r>
      <w:r>
        <w:rPr>
          <w:sz w:val="19"/>
          <w:szCs w:val="19"/>
          <w:lang w:eastAsia="fr-FR"/>
        </w:rPr>
        <w:t>propagation of the trajectory taking into account the ablation rate for the mass calculation.</w:t>
      </w:r>
    </w:p>
    <w:p w14:paraId="6AB99ACE" w14:textId="77777777" w:rsidR="00043142" w:rsidRDefault="00043142" w:rsidP="00043142">
      <w:pPr>
        <w:autoSpaceDE w:val="0"/>
        <w:autoSpaceDN w:val="0"/>
        <w:adjustRightInd w:val="0"/>
        <w:jc w:val="both"/>
        <w:rPr>
          <w:sz w:val="19"/>
          <w:szCs w:val="19"/>
          <w:lang w:eastAsia="fr-FR"/>
        </w:rPr>
      </w:pPr>
      <w:r>
        <w:rPr>
          <w:sz w:val="19"/>
          <w:szCs w:val="19"/>
          <w:lang w:eastAsia="fr-FR"/>
        </w:rPr>
        <w:lastRenderedPageBreak/>
        <w:t>The fragments contained in the satellite can themselves include other “child-fragments”. Those child fragments are released when the parent-fragment is completely ablated. The simulation of those objects is then similar to the description given above.</w:t>
      </w:r>
    </w:p>
    <w:p w14:paraId="3211C602" w14:textId="77777777" w:rsidR="00043142" w:rsidRDefault="00043142" w:rsidP="00043142">
      <w:pPr>
        <w:autoSpaceDE w:val="0"/>
        <w:autoSpaceDN w:val="0"/>
        <w:adjustRightInd w:val="0"/>
        <w:jc w:val="both"/>
        <w:rPr>
          <w:sz w:val="19"/>
          <w:szCs w:val="19"/>
          <w:lang w:eastAsia="fr-FR"/>
        </w:rPr>
      </w:pPr>
      <w:r>
        <w:rPr>
          <w:sz w:val="19"/>
          <w:szCs w:val="19"/>
          <w:lang w:eastAsia="fr-FR"/>
        </w:rPr>
        <w:t>In advanced mode, the heat conduction between object can be activated on condition that conduction coefficients are known. With this option, fragments are warmed by their parent object before their release. Then, those objects are released with a temperature higher than the standard initial temperature of 300K.</w:t>
      </w:r>
    </w:p>
    <w:p w14:paraId="0B81D26C" w14:textId="77777777" w:rsidR="00043142" w:rsidRDefault="00043142" w:rsidP="00043142">
      <w:pPr>
        <w:jc w:val="both"/>
        <w:rPr>
          <w:lang w:val="en-GB" w:eastAsia="en-US"/>
        </w:rPr>
      </w:pPr>
      <w:r>
        <w:rPr>
          <w:lang w:val="en-GB"/>
        </w:rPr>
        <w:t>For each fragment, Debrisk provide various information on the survivability of the object, among others:</w:t>
      </w:r>
    </w:p>
    <w:p w14:paraId="0E7221A0" w14:textId="77777777" w:rsidR="00043142" w:rsidRDefault="00043142" w:rsidP="00043142">
      <w:pPr>
        <w:numPr>
          <w:ilvl w:val="0"/>
          <w:numId w:val="12"/>
        </w:numPr>
        <w:suppressAutoHyphens w:val="0"/>
        <w:spacing w:before="0" w:after="0"/>
        <w:jc w:val="both"/>
        <w:rPr>
          <w:lang w:val="en-GB"/>
        </w:rPr>
      </w:pPr>
      <w:r>
        <w:rPr>
          <w:lang w:val="en-GB"/>
        </w:rPr>
        <w:t xml:space="preserve">demise altitude in case of total ablation of the fragment. </w:t>
      </w:r>
    </w:p>
    <w:p w14:paraId="4B80A6EE" w14:textId="3DC04689" w:rsidR="00043142" w:rsidRDefault="00043142" w:rsidP="00043142">
      <w:pPr>
        <w:numPr>
          <w:ilvl w:val="0"/>
          <w:numId w:val="12"/>
        </w:numPr>
        <w:suppressAutoHyphens w:val="0"/>
        <w:spacing w:before="0" w:after="0"/>
        <w:jc w:val="both"/>
        <w:rPr>
          <w:lang w:val="en-GB"/>
        </w:rPr>
      </w:pPr>
      <w:r>
        <w:rPr>
          <w:lang w:val="en-GB"/>
        </w:rPr>
        <w:t>impact energy, remaining mass, casualty area, … for objects which reach the ground.</w:t>
      </w:r>
    </w:p>
    <w:p w14:paraId="145EB922" w14:textId="77777777" w:rsidR="002908CD" w:rsidRDefault="002908CD" w:rsidP="002908CD">
      <w:pPr>
        <w:suppressAutoHyphens w:val="0"/>
        <w:spacing w:before="0" w:after="0"/>
        <w:ind w:left="720"/>
        <w:jc w:val="both"/>
        <w:rPr>
          <w:lang w:val="en-GB"/>
        </w:rPr>
      </w:pPr>
    </w:p>
    <w:p w14:paraId="6EF19F58" w14:textId="1040DABA" w:rsidR="00F1090D" w:rsidRPr="000450E4" w:rsidRDefault="00043142" w:rsidP="00F1090D">
      <w:pPr>
        <w:pStyle w:val="Titre1"/>
        <w:tabs>
          <w:tab w:val="clear" w:pos="432"/>
        </w:tabs>
        <w:suppressAutoHyphens/>
        <w:ind w:right="0"/>
        <w:rPr>
          <w:lang w:val="en-US"/>
        </w:rPr>
      </w:pPr>
      <w:r>
        <w:rPr>
          <w:lang w:val="en-US"/>
        </w:rPr>
        <w:t>ELECTRA TOOL</w:t>
      </w:r>
    </w:p>
    <w:p w14:paraId="60E7B5AC" w14:textId="27222A41" w:rsidR="00043142" w:rsidRDefault="00043142" w:rsidP="00043142">
      <w:pPr>
        <w:autoSpaceDE w:val="0"/>
        <w:autoSpaceDN w:val="0"/>
        <w:adjustRightInd w:val="0"/>
        <w:jc w:val="both"/>
        <w:rPr>
          <w:lang w:val="en-GB" w:eastAsia="en-US"/>
        </w:rPr>
      </w:pPr>
      <w:r>
        <w:rPr>
          <w:lang w:eastAsia="fr-FR"/>
        </w:rPr>
        <w:t>ELECTRA development began in 2007 to meet the requirement for precise quantification of the risks involved in the launch and the re-entry of a spacecraft.</w:t>
      </w:r>
      <w:r>
        <w:t xml:space="preserve"> </w:t>
      </w:r>
      <w:r>
        <w:rPr>
          <w:lang w:val="en-GB"/>
        </w:rPr>
        <w:t xml:space="preserve">Since 2015 and version V4.0, ELECTRA is developed in JAVA. ELECTRA is used operationally </w:t>
      </w:r>
      <w:r>
        <w:rPr>
          <w:lang w:eastAsia="fr-FR"/>
        </w:rPr>
        <w:t>to monitor the risk associated to each launch from Guyana Space Centre. The tool supported ATV-CC for risk analysis during the controlled re-entry. It’s also used to estimate uncontrolled re-entry risk of all French LEO missions in the frame of the FSOA. Electra and Debrisk can be provided to space operator for the preparation of assessment of conformity to the French Space Operations Act.</w:t>
      </w:r>
    </w:p>
    <w:p w14:paraId="58106241" w14:textId="1497F411" w:rsidR="00043142" w:rsidRDefault="00043142" w:rsidP="00043142">
      <w:pPr>
        <w:autoSpaceDE w:val="0"/>
        <w:autoSpaceDN w:val="0"/>
        <w:adjustRightInd w:val="0"/>
        <w:jc w:val="both"/>
        <w:rPr>
          <w:lang w:eastAsia="fr-FR"/>
        </w:rPr>
      </w:pPr>
      <w:r>
        <w:rPr>
          <w:lang w:eastAsia="fr-FR"/>
        </w:rPr>
        <w:t>ELECTRA calculates the probability of incurring at least one victim and the expected value of the number of victims in four situations involving the re-entry of a spacecraft in the atmosphere:</w:t>
      </w:r>
    </w:p>
    <w:p w14:paraId="6583165E" w14:textId="77777777" w:rsidR="00043142" w:rsidRDefault="00043142" w:rsidP="00043142">
      <w:pPr>
        <w:pStyle w:val="Paragraphedeliste"/>
        <w:numPr>
          <w:ilvl w:val="0"/>
          <w:numId w:val="13"/>
        </w:numPr>
        <w:autoSpaceDE w:val="0"/>
        <w:autoSpaceDN w:val="0"/>
        <w:adjustRightInd w:val="0"/>
        <w:jc w:val="both"/>
        <w:rPr>
          <w:lang w:eastAsia="fr-FR"/>
        </w:rPr>
      </w:pPr>
      <w:r>
        <w:t>Uncontrolled re-entry (RA mode) of a space object (satellite or launcher part). Typically, the natural re-entry of a LEO satellite within the 25 years limits of the French regulation. As it is impossible to predict the “exact” location of the debris impacts, the potential fallout zone corresponds to the area of the Earth’s surface between latitudes +/-</w:t>
      </w:r>
      <w:proofErr w:type="spellStart"/>
      <w:r>
        <w:t>i</w:t>
      </w:r>
      <w:proofErr w:type="spellEnd"/>
      <w:r>
        <w:t xml:space="preserve"> (</w:t>
      </w:r>
      <w:proofErr w:type="spellStart"/>
      <w:r>
        <w:t>i</w:t>
      </w:r>
      <w:proofErr w:type="spellEnd"/>
      <w:r>
        <w:t xml:space="preserve"> being the inclination of the orbit).</w:t>
      </w:r>
    </w:p>
    <w:p w14:paraId="5D993B4A" w14:textId="77777777" w:rsidR="00043142" w:rsidRDefault="00043142" w:rsidP="00043142">
      <w:pPr>
        <w:pStyle w:val="Paragraphedeliste"/>
        <w:autoSpaceDE w:val="0"/>
        <w:autoSpaceDN w:val="0"/>
        <w:adjustRightInd w:val="0"/>
        <w:jc w:val="both"/>
        <w:rPr>
          <w:lang w:eastAsia="fr-FR"/>
        </w:rPr>
      </w:pPr>
    </w:p>
    <w:p w14:paraId="0561AF45" w14:textId="77777777" w:rsidR="00043142" w:rsidRDefault="00043142" w:rsidP="00043142">
      <w:pPr>
        <w:pStyle w:val="Paragraphedeliste"/>
        <w:numPr>
          <w:ilvl w:val="0"/>
          <w:numId w:val="13"/>
        </w:numPr>
        <w:autoSpaceDE w:val="0"/>
        <w:autoSpaceDN w:val="0"/>
        <w:adjustRightInd w:val="0"/>
        <w:jc w:val="both"/>
        <w:rPr>
          <w:lang w:eastAsia="fr-FR"/>
        </w:rPr>
      </w:pPr>
      <w:r>
        <w:t xml:space="preserve">Launch failure (RL mode): in case of a premature stop of the rocket propulsion, </w:t>
      </w:r>
      <w:r>
        <w:rPr>
          <w:lang w:eastAsia="fr-FR"/>
        </w:rPr>
        <w:t>ELECTRA calculates the trajectory of the intact vehicle from the failure instant until its fragmentation and then the trajectories of each fragment to the ground. This computation is done for each considered propulsion failure combined with several sources of dispersion to estimate the risk with a Monte-Carlo process.</w:t>
      </w:r>
    </w:p>
    <w:p w14:paraId="0F8D9767" w14:textId="77777777" w:rsidR="00043142" w:rsidRDefault="00043142" w:rsidP="00043142">
      <w:pPr>
        <w:pStyle w:val="Paragraphedeliste"/>
      </w:pPr>
    </w:p>
    <w:p w14:paraId="7F9C655D" w14:textId="743C302D" w:rsidR="00043142" w:rsidRDefault="00043142" w:rsidP="00043142">
      <w:pPr>
        <w:pStyle w:val="Paragraphedeliste"/>
        <w:autoSpaceDE w:val="0"/>
        <w:autoSpaceDN w:val="0"/>
        <w:adjustRightInd w:val="0"/>
        <w:jc w:val="both"/>
        <w:rPr>
          <w:lang w:eastAsia="fr-FR"/>
        </w:rPr>
      </w:pPr>
    </w:p>
    <w:p w14:paraId="4E2E99CB" w14:textId="77777777" w:rsidR="00043142" w:rsidRDefault="00043142" w:rsidP="00043142">
      <w:pPr>
        <w:pStyle w:val="Paragraphedeliste"/>
        <w:numPr>
          <w:ilvl w:val="0"/>
          <w:numId w:val="13"/>
        </w:numPr>
        <w:autoSpaceDE w:val="0"/>
        <w:autoSpaceDN w:val="0"/>
        <w:adjustRightInd w:val="0"/>
        <w:jc w:val="both"/>
        <w:rPr>
          <w:lang w:eastAsia="fr-FR"/>
        </w:rPr>
      </w:pPr>
      <w:r w:rsidRPr="00043142">
        <w:t>Controlled re-entry (RC mode): in case of a failure during de-orbit manoeuvers, ELECTRA computes the risk with a method similar to the one used in RL mode.</w:t>
      </w:r>
    </w:p>
    <w:p w14:paraId="58F4A386" w14:textId="77777777" w:rsidR="00043142" w:rsidRDefault="00043142" w:rsidP="00043142">
      <w:pPr>
        <w:pStyle w:val="Paragraphedeliste"/>
        <w:autoSpaceDE w:val="0"/>
        <w:autoSpaceDN w:val="0"/>
        <w:adjustRightInd w:val="0"/>
        <w:jc w:val="both"/>
        <w:rPr>
          <w:lang w:eastAsia="fr-FR"/>
        </w:rPr>
      </w:pPr>
    </w:p>
    <w:p w14:paraId="621F2A06" w14:textId="3C322020" w:rsidR="00043142" w:rsidRDefault="00043142" w:rsidP="00043142">
      <w:pPr>
        <w:pStyle w:val="Paragraphedeliste"/>
        <w:numPr>
          <w:ilvl w:val="0"/>
          <w:numId w:val="13"/>
        </w:numPr>
        <w:autoSpaceDE w:val="0"/>
        <w:autoSpaceDN w:val="0"/>
        <w:adjustRightInd w:val="0"/>
        <w:jc w:val="both"/>
        <w:rPr>
          <w:lang w:eastAsia="fr-FR"/>
        </w:rPr>
      </w:pPr>
      <w:r>
        <w:t xml:space="preserve">Final orbit (RF mode): </w:t>
      </w:r>
      <w:r>
        <w:rPr>
          <w:lang w:eastAsia="fr-FR"/>
        </w:rPr>
        <w:t>This new “short-term” re-entry context aims to estimate the risk a few hours or days before the uncontrolled reentry of a space object. A few days before the possible re-entry, conditions are distributed on a limited amount of orbits and can be characterized by a set of possible state vectors at a given altitude. Then, every point is considered as a probable point of re-entry and is processed in a similar way as what is done for each failure case for launching risk computation. This mode was used for the study of Tiangon-1 re-entry presented in this paper.</w:t>
      </w:r>
    </w:p>
    <w:p w14:paraId="32546B2C" w14:textId="77777777" w:rsidR="00043142" w:rsidRDefault="00043142" w:rsidP="00043142">
      <w:pPr>
        <w:pStyle w:val="Paragraphedeliste"/>
        <w:rPr>
          <w:lang w:eastAsia="fr-FR"/>
        </w:rPr>
      </w:pPr>
    </w:p>
    <w:p w14:paraId="6BDA4D55" w14:textId="4F5C4D33" w:rsidR="00FE3907" w:rsidRDefault="00FE3907" w:rsidP="00FE3907">
      <w:pPr>
        <w:pStyle w:val="Titre2"/>
        <w:tabs>
          <w:tab w:val="clear" w:pos="576"/>
          <w:tab w:val="left" w:pos="1440"/>
        </w:tabs>
        <w:suppressAutoHyphens/>
        <w:spacing w:before="120"/>
        <w:ind w:left="578" w:right="0" w:hanging="578"/>
        <w:rPr>
          <w:lang w:val="en-US"/>
        </w:rPr>
      </w:pPr>
      <w:r>
        <w:rPr>
          <w:lang w:val="en-US"/>
        </w:rPr>
        <w:t>Details on RF mode</w:t>
      </w:r>
    </w:p>
    <w:p w14:paraId="230A87DA" w14:textId="3D8A3E3D" w:rsidR="00FE3907" w:rsidRPr="000068A5" w:rsidRDefault="00FE3907" w:rsidP="000068A5">
      <w:pPr>
        <w:numPr>
          <w:ilvl w:val="2"/>
          <w:numId w:val="10"/>
        </w:numPr>
        <w:tabs>
          <w:tab w:val="clear" w:pos="720"/>
        </w:tabs>
        <w:spacing w:before="0" w:after="0"/>
        <w:ind w:left="0" w:firstLine="0"/>
        <w:jc w:val="both"/>
        <w:rPr>
          <w:i/>
        </w:rPr>
      </w:pPr>
      <w:r w:rsidRPr="000068A5">
        <w:rPr>
          <w:i/>
        </w:rPr>
        <w:t>Determination of probable points of re-entry</w:t>
      </w:r>
    </w:p>
    <w:p w14:paraId="63B87525" w14:textId="02DFCDC2" w:rsidR="00FE3907" w:rsidRDefault="00FE3907" w:rsidP="00FE3907">
      <w:pPr>
        <w:autoSpaceDE w:val="0"/>
        <w:autoSpaceDN w:val="0"/>
        <w:adjustRightInd w:val="0"/>
        <w:jc w:val="both"/>
        <w:rPr>
          <w:lang w:eastAsia="fr-FR"/>
        </w:rPr>
      </w:pPr>
      <w:r>
        <w:rPr>
          <w:lang w:eastAsia="fr-FR"/>
        </w:rPr>
        <w:t>A specific tool in ELECTRA generates a set of possible state vectors at a given altitude, taking into account uncertainties on the space object itself and on environmental conditions. These probable re-entry points are deduced from initial conditions representing last orbits of the space object few hours or days before its uncontrolled re-entry. These points are obtained by a variation of the ballistic coefficient between a maximal and a minimal dispersed value. A probability of occurrence is joined to each of these points. Notice that this set of points does not represent an orbit</w:t>
      </w:r>
      <w:r w:rsidR="00073D98">
        <w:rPr>
          <w:lang w:eastAsia="fr-FR"/>
        </w:rPr>
        <w:t xml:space="preserve"> itself even if it looks like. </w:t>
      </w:r>
    </w:p>
    <w:p w14:paraId="3B892464" w14:textId="7C8B8130" w:rsidR="00073D98" w:rsidRDefault="00FE3907" w:rsidP="00FE3907">
      <w:pPr>
        <w:autoSpaceDE w:val="0"/>
        <w:autoSpaceDN w:val="0"/>
        <w:adjustRightInd w:val="0"/>
        <w:jc w:val="both"/>
        <w:rPr>
          <w:lang w:eastAsia="fr-FR"/>
        </w:rPr>
      </w:pPr>
      <w:r>
        <w:rPr>
          <w:lang w:eastAsia="fr-FR"/>
        </w:rPr>
        <w:t>Probable re-entry points are all located at an identical geodetic altitude of re-entry (85 km for example) [</w:t>
      </w:r>
      <w:r>
        <w:rPr>
          <w:lang w:eastAsia="fr-FR"/>
        </w:rPr>
        <w:fldChar w:fldCharType="begin"/>
      </w:r>
      <w:r>
        <w:rPr>
          <w:lang w:eastAsia="fr-FR"/>
        </w:rPr>
        <w:instrText xml:space="preserve"> REF _Ref528578345 \h </w:instrText>
      </w:r>
      <w:r>
        <w:rPr>
          <w:lang w:eastAsia="fr-FR"/>
        </w:rPr>
      </w:r>
      <w:r>
        <w:rPr>
          <w:lang w:eastAsia="fr-FR"/>
        </w:rPr>
        <w:fldChar w:fldCharType="separate"/>
      </w:r>
      <w:r w:rsidR="00B276BF">
        <w:t xml:space="preserve">Figure </w:t>
      </w:r>
      <w:r w:rsidR="00B276BF">
        <w:rPr>
          <w:noProof/>
        </w:rPr>
        <w:t>1</w:t>
      </w:r>
      <w:r>
        <w:rPr>
          <w:lang w:eastAsia="fr-FR"/>
        </w:rPr>
        <w:fldChar w:fldCharType="end"/>
      </w:r>
      <w:r>
        <w:rPr>
          <w:lang w:eastAsia="fr-FR"/>
        </w:rPr>
        <w:t>]. They are characterized by date, position, velocity and ballistic coefficient and associated to an occurrence probability assuming a uniform or a Gaussian repartition of the ballistic coefficient dispersion. The computation method is designed to have circle-equidistant re-entry points to be sure not to forget some intermediate points leading to a potential impact on a heavy inhabited area. Indeed, a full random distribution could lead to consecutive points separated by several hundreds of kilometers.</w:t>
      </w:r>
      <w:r w:rsidR="00073D98" w:rsidRPr="00073D98">
        <w:rPr>
          <w:lang w:eastAsia="fr-FR"/>
        </w:rPr>
        <w:t xml:space="preserve"> </w:t>
      </w:r>
    </w:p>
    <w:p w14:paraId="367303F4" w14:textId="013A7AE4" w:rsidR="00FE3907" w:rsidRDefault="00073D98" w:rsidP="00FE3907">
      <w:pPr>
        <w:autoSpaceDE w:val="0"/>
        <w:autoSpaceDN w:val="0"/>
        <w:adjustRightInd w:val="0"/>
        <w:jc w:val="both"/>
        <w:rPr>
          <w:lang w:eastAsia="fr-FR"/>
        </w:rPr>
      </w:pPr>
      <w:r>
        <w:rPr>
          <w:lang w:eastAsia="fr-FR"/>
        </w:rPr>
        <w:t>As this way of determining this set of entry points maybe time consuming, it is possible to do it in two steps: first with numerical propagations, then using interpolation method.</w:t>
      </w:r>
    </w:p>
    <w:p w14:paraId="756B769D" w14:textId="4E056B41" w:rsidR="00FE3907" w:rsidRDefault="00FE3907" w:rsidP="00FE3907">
      <w:pPr>
        <w:autoSpaceDE w:val="0"/>
        <w:autoSpaceDN w:val="0"/>
        <w:adjustRightInd w:val="0"/>
        <w:jc w:val="both"/>
        <w:rPr>
          <w:lang w:eastAsia="fr-FR"/>
        </w:rPr>
      </w:pPr>
      <w:r>
        <w:rPr>
          <w:noProof/>
          <w:lang w:val="fr-FR" w:eastAsia="fr-FR"/>
        </w:rPr>
        <w:lastRenderedPageBreak/>
        <w:drawing>
          <wp:inline distT="0" distB="0" distL="0" distR="0" wp14:anchorId="78153F7A" wp14:editId="1AA36373">
            <wp:extent cx="2933700" cy="1653540"/>
            <wp:effectExtent l="0" t="0" r="0" b="0"/>
            <wp:docPr id="14" name="Image 14" descr="SchemaPointsRen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emaPointsRentre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3700" cy="1653540"/>
                    </a:xfrm>
                    <a:prstGeom prst="rect">
                      <a:avLst/>
                    </a:prstGeom>
                    <a:noFill/>
                    <a:ln>
                      <a:noFill/>
                    </a:ln>
                  </pic:spPr>
                </pic:pic>
              </a:graphicData>
            </a:graphic>
          </wp:inline>
        </w:drawing>
      </w:r>
    </w:p>
    <w:p w14:paraId="40F06897" w14:textId="7047A5B9" w:rsidR="00FE3907" w:rsidRDefault="00FE3907" w:rsidP="00FE3907">
      <w:pPr>
        <w:pStyle w:val="Lgende"/>
        <w:jc w:val="center"/>
        <w:rPr>
          <w:lang w:eastAsia="fr-FR"/>
        </w:rPr>
      </w:pPr>
      <w:bookmarkStart w:id="0" w:name="_Ref528578345"/>
      <w:r>
        <w:t xml:space="preserve">Figure </w:t>
      </w:r>
      <w:r>
        <w:fldChar w:fldCharType="begin"/>
      </w:r>
      <w:r>
        <w:instrText xml:space="preserve"> SEQ Figure \* ARABIC </w:instrText>
      </w:r>
      <w:r>
        <w:fldChar w:fldCharType="separate"/>
      </w:r>
      <w:r w:rsidR="00B276BF">
        <w:rPr>
          <w:noProof/>
        </w:rPr>
        <w:t>1</w:t>
      </w:r>
      <w:r>
        <w:fldChar w:fldCharType="end"/>
      </w:r>
      <w:bookmarkEnd w:id="0"/>
      <w:r>
        <w:t xml:space="preserve"> : </w:t>
      </w:r>
      <w:r w:rsidRPr="009237E8">
        <w:t>Probable risk between two re-entry points</w:t>
      </w:r>
    </w:p>
    <w:p w14:paraId="12F49BFA" w14:textId="172EBDA5" w:rsidR="00043142" w:rsidRDefault="00043142" w:rsidP="00FE3907">
      <w:pPr>
        <w:autoSpaceDE w:val="0"/>
        <w:autoSpaceDN w:val="0"/>
        <w:adjustRightInd w:val="0"/>
        <w:jc w:val="both"/>
        <w:rPr>
          <w:lang w:eastAsia="fr-FR"/>
        </w:rPr>
      </w:pPr>
    </w:p>
    <w:p w14:paraId="15CA428F" w14:textId="41BC6B17" w:rsidR="00FE3907" w:rsidRPr="000068A5" w:rsidRDefault="00FE3907" w:rsidP="000068A5">
      <w:pPr>
        <w:numPr>
          <w:ilvl w:val="2"/>
          <w:numId w:val="10"/>
        </w:numPr>
        <w:tabs>
          <w:tab w:val="clear" w:pos="720"/>
        </w:tabs>
        <w:spacing w:before="0" w:after="0"/>
        <w:ind w:left="0" w:firstLine="0"/>
        <w:jc w:val="both"/>
        <w:rPr>
          <w:i/>
        </w:rPr>
      </w:pPr>
      <w:r w:rsidRPr="000068A5">
        <w:rPr>
          <w:i/>
        </w:rPr>
        <w:t xml:space="preserve">Computation of </w:t>
      </w:r>
      <w:proofErr w:type="spellStart"/>
      <w:r w:rsidRPr="000068A5">
        <w:rPr>
          <w:i/>
        </w:rPr>
        <w:t>risk</w:t>
      </w:r>
      <w:proofErr w:type="spellEnd"/>
    </w:p>
    <w:p w14:paraId="0FCFFED5" w14:textId="57596CE8" w:rsidR="00043142" w:rsidRDefault="00FE3907" w:rsidP="00043142">
      <w:pPr>
        <w:autoSpaceDE w:val="0"/>
        <w:autoSpaceDN w:val="0"/>
        <w:adjustRightInd w:val="0"/>
        <w:jc w:val="both"/>
        <w:rPr>
          <w:lang w:val="en-GB" w:eastAsia="fr-FR"/>
        </w:rPr>
      </w:pPr>
      <w:r>
        <w:rPr>
          <w:lang w:val="en-GB" w:eastAsia="fr-FR"/>
        </w:rPr>
        <w:t>Once impact points have been computed with a sufficient number of simulations with respect to the level of confidence objective, ELECTRA calculates the probability of incurring at least one victim, and the expected value of the number of victims exactly in the same manner as for the RL and RC modes, i.e. using a Monte Carlo method.</w:t>
      </w:r>
    </w:p>
    <w:p w14:paraId="1CB3EE0E" w14:textId="77777777" w:rsidR="002908CD" w:rsidRDefault="002908CD" w:rsidP="00043142">
      <w:pPr>
        <w:autoSpaceDE w:val="0"/>
        <w:autoSpaceDN w:val="0"/>
        <w:adjustRightInd w:val="0"/>
        <w:jc w:val="both"/>
        <w:rPr>
          <w:lang w:eastAsia="fr-FR"/>
        </w:rPr>
      </w:pPr>
    </w:p>
    <w:p w14:paraId="5113E761" w14:textId="42E2837E" w:rsidR="00F1090D" w:rsidRDefault="00FE3907" w:rsidP="00F1090D">
      <w:pPr>
        <w:pStyle w:val="Titre1"/>
        <w:tabs>
          <w:tab w:val="clear" w:pos="432"/>
        </w:tabs>
        <w:suppressAutoHyphens/>
        <w:ind w:left="431" w:right="0" w:hanging="431"/>
        <w:rPr>
          <w:lang w:val="en-US"/>
        </w:rPr>
      </w:pPr>
      <w:r w:rsidRPr="00FE3907">
        <w:rPr>
          <w:lang w:val="en-US"/>
        </w:rPr>
        <w:t>TIANGON-1 RE-ENTRY CONTEXT</w:t>
      </w:r>
    </w:p>
    <w:p w14:paraId="541CD9AE" w14:textId="77777777" w:rsidR="00FE3907" w:rsidRDefault="00FE3907" w:rsidP="00FE3907">
      <w:pPr>
        <w:jc w:val="both"/>
        <w:rPr>
          <w:lang w:eastAsia="en-US"/>
        </w:rPr>
      </w:pPr>
      <w:r>
        <w:rPr>
          <w:lang w:eastAsia="en-US"/>
        </w:rPr>
        <w:t xml:space="preserve">The Chinese space station Tiangon-1 was put into orbit on September 29th, 2011 at an altitude of about 370km. Two </w:t>
      </w:r>
      <w:proofErr w:type="spellStart"/>
      <w:r>
        <w:rPr>
          <w:lang w:eastAsia="en-US"/>
        </w:rPr>
        <w:t>taikonauts</w:t>
      </w:r>
      <w:proofErr w:type="spellEnd"/>
      <w:r>
        <w:rPr>
          <w:lang w:eastAsia="en-US"/>
        </w:rPr>
        <w:t xml:space="preserve">’ crews stay on board in 2012 and 2013. In 2016, the Chinese control </w:t>
      </w:r>
      <w:proofErr w:type="spellStart"/>
      <w:r>
        <w:rPr>
          <w:lang w:eastAsia="en-US"/>
        </w:rPr>
        <w:t>centre</w:t>
      </w:r>
      <w:proofErr w:type="spellEnd"/>
      <w:r>
        <w:rPr>
          <w:lang w:eastAsia="en-US"/>
        </w:rPr>
        <w:t xml:space="preserve"> lost the link with the space station. Tiangon-1 then became an uncontrolled object whose altitude gradually decayed due to atmospheric drag until its natural re-entry in the atmosphere on Avril 2nd, 2018 at 00h16 TU.</w:t>
      </w:r>
    </w:p>
    <w:p w14:paraId="7D3F1E43" w14:textId="77777777" w:rsidR="00FE3907" w:rsidRDefault="00FE3907" w:rsidP="00FE3907">
      <w:pPr>
        <w:jc w:val="both"/>
        <w:rPr>
          <w:lang w:eastAsia="en-US"/>
        </w:rPr>
      </w:pPr>
      <w:r>
        <w:rPr>
          <w:lang w:eastAsia="en-US"/>
        </w:rPr>
        <w:t xml:space="preserve">The space station is quite small compared to other space station or even the ATV spacecraft. The Russian space station MIR weighed 124T, ISS is 400 T while </w:t>
      </w:r>
      <w:proofErr w:type="spellStart"/>
      <w:r>
        <w:rPr>
          <w:lang w:eastAsia="en-US"/>
        </w:rPr>
        <w:t>Tiangon</w:t>
      </w:r>
      <w:proofErr w:type="spellEnd"/>
      <w:r>
        <w:rPr>
          <w:lang w:eastAsia="en-US"/>
        </w:rPr>
        <w:t xml:space="preserve"> 1 is “only” 8.5 T for a volume of about 15 m3.</w:t>
      </w:r>
    </w:p>
    <w:p w14:paraId="65F60404" w14:textId="0032CE8D" w:rsidR="00FE3907" w:rsidRDefault="00FE3907" w:rsidP="00FE3907">
      <w:pPr>
        <w:jc w:val="both"/>
        <w:rPr>
          <w:lang w:eastAsia="en-US"/>
        </w:rPr>
      </w:pPr>
      <w:r>
        <w:rPr>
          <w:lang w:eastAsia="en-US"/>
        </w:rPr>
        <w:t>The monitoring of Tiangon-1 re-entry involved CNES experts on fragmentation and risk assessment as well as the OCC division who’s in charge of operational orbit determination and to operationally estimate the reentry point and date of reentries considered as high risk.</w:t>
      </w:r>
    </w:p>
    <w:p w14:paraId="382AA71A" w14:textId="77777777" w:rsidR="002908CD" w:rsidRDefault="002908CD" w:rsidP="00FE3907">
      <w:pPr>
        <w:jc w:val="both"/>
        <w:rPr>
          <w:lang w:eastAsia="en-US"/>
        </w:rPr>
      </w:pPr>
    </w:p>
    <w:p w14:paraId="5084113D" w14:textId="404F457B" w:rsidR="00F1090D" w:rsidRDefault="00FE3907" w:rsidP="00F1090D">
      <w:pPr>
        <w:pStyle w:val="Titre1"/>
        <w:tabs>
          <w:tab w:val="clear" w:pos="432"/>
        </w:tabs>
        <w:suppressAutoHyphens/>
        <w:ind w:right="0"/>
        <w:rPr>
          <w:lang w:val="en-US"/>
        </w:rPr>
      </w:pPr>
      <w:r w:rsidRPr="00FE3907">
        <w:rPr>
          <w:lang w:val="en-US"/>
        </w:rPr>
        <w:t>TIANGON-1 MODEL</w:t>
      </w:r>
      <w:r w:rsidR="00B35EF8">
        <w:rPr>
          <w:lang w:val="en-US"/>
        </w:rPr>
        <w:t>ling</w:t>
      </w:r>
      <w:r w:rsidRPr="00FE3907">
        <w:rPr>
          <w:lang w:val="en-US"/>
        </w:rPr>
        <w:t xml:space="preserve"> AND ABLATION</w:t>
      </w:r>
    </w:p>
    <w:p w14:paraId="25AD83B3" w14:textId="0B0205A8" w:rsidR="00FE3907" w:rsidRDefault="00B35EF8" w:rsidP="00FE3907">
      <w:pPr>
        <w:pStyle w:val="Titre2"/>
      </w:pPr>
      <w:proofErr w:type="spellStart"/>
      <w:r>
        <w:t>Modelling</w:t>
      </w:r>
      <w:proofErr w:type="spellEnd"/>
    </w:p>
    <w:p w14:paraId="2CD348FD" w14:textId="77777777" w:rsidR="002908CD" w:rsidRDefault="002908CD" w:rsidP="002908CD">
      <w:pPr>
        <w:jc w:val="both"/>
        <w:rPr>
          <w:lang w:val="en-GB" w:eastAsia="en-US"/>
        </w:rPr>
      </w:pPr>
      <w:r>
        <w:rPr>
          <w:lang w:val="en-GB"/>
        </w:rPr>
        <w:t xml:space="preserve">To compute the risk for population with Electra tool, the list of surviving fragments computed by Debrisk is required. The Chinese space station Tiangon-1 had to be modelled using the simple shapes available in Debrisk. However, very few </w:t>
      </w:r>
      <w:r>
        <w:rPr>
          <w:lang w:val="en-GB"/>
        </w:rPr>
        <w:t xml:space="preserve">official information was available for this spacecraft. So the model has been constructed based on the internal knowledge that CNES has on the </w:t>
      </w:r>
      <w:r>
        <w:rPr>
          <w:caps/>
          <w:lang w:val="en-GB"/>
        </w:rPr>
        <w:t xml:space="preserve">ATV </w:t>
      </w:r>
      <w:r>
        <w:rPr>
          <w:lang w:val="en-GB"/>
        </w:rPr>
        <w:t>vehicle by analogy</w:t>
      </w:r>
      <w:r>
        <w:rPr>
          <w:caps/>
          <w:lang w:val="en-GB"/>
        </w:rPr>
        <w:t xml:space="preserve"> </w:t>
      </w:r>
      <w:r>
        <w:rPr>
          <w:lang w:val="en-GB"/>
        </w:rPr>
        <w:t>and scaling and in available information grab on Internet.</w:t>
      </w:r>
    </w:p>
    <w:p w14:paraId="40A3CA68" w14:textId="77777777" w:rsidR="002908CD" w:rsidRDefault="002908CD" w:rsidP="002908CD">
      <w:pPr>
        <w:jc w:val="both"/>
        <w:rPr>
          <w:lang w:val="en-GB"/>
        </w:rPr>
      </w:pPr>
    </w:p>
    <w:p w14:paraId="4D0CCBBF" w14:textId="77777777" w:rsidR="002908CD" w:rsidRDefault="002908CD" w:rsidP="002908CD">
      <w:pPr>
        <w:keepNext/>
        <w:jc w:val="both"/>
      </w:pPr>
      <w:r>
        <w:rPr>
          <w:noProof/>
          <w:lang w:val="fr-FR" w:eastAsia="fr-FR"/>
        </w:rPr>
        <w:drawing>
          <wp:inline distT="0" distB="0" distL="0" distR="0" wp14:anchorId="2C35F3B6" wp14:editId="5EE77663">
            <wp:extent cx="2872740" cy="1234440"/>
            <wp:effectExtent l="0" t="0" r="3810" b="3810"/>
            <wp:docPr id="15" name="Image 15" descr="ComparaisonVehicules4pann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araisonVehicules4panneau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2740" cy="1234440"/>
                    </a:xfrm>
                    <a:prstGeom prst="rect">
                      <a:avLst/>
                    </a:prstGeom>
                    <a:noFill/>
                    <a:ln>
                      <a:noFill/>
                    </a:ln>
                  </pic:spPr>
                </pic:pic>
              </a:graphicData>
            </a:graphic>
          </wp:inline>
        </w:drawing>
      </w:r>
    </w:p>
    <w:p w14:paraId="6698CFF8" w14:textId="06EBA9A1" w:rsidR="002908CD" w:rsidRDefault="002908CD" w:rsidP="002908CD">
      <w:pPr>
        <w:pStyle w:val="Lgende"/>
        <w:jc w:val="center"/>
      </w:pPr>
      <w:bookmarkStart w:id="1" w:name="_Ref528578704"/>
      <w:r>
        <w:t xml:space="preserve">Figure </w:t>
      </w:r>
      <w:r>
        <w:fldChar w:fldCharType="begin"/>
      </w:r>
      <w:r>
        <w:instrText xml:space="preserve"> SEQ Figure \* ARABIC </w:instrText>
      </w:r>
      <w:r>
        <w:fldChar w:fldCharType="separate"/>
      </w:r>
      <w:r w:rsidR="00B276BF">
        <w:rPr>
          <w:noProof/>
        </w:rPr>
        <w:t>2</w:t>
      </w:r>
      <w:r>
        <w:fldChar w:fldCharType="end"/>
      </w:r>
      <w:bookmarkEnd w:id="1"/>
      <w:r>
        <w:t xml:space="preserve"> : </w:t>
      </w:r>
      <w:r w:rsidRPr="00611B6F">
        <w:t>Similarities between vehicles</w:t>
      </w:r>
    </w:p>
    <w:p w14:paraId="371D0258" w14:textId="77777777" w:rsidR="002908CD" w:rsidRDefault="002908CD" w:rsidP="002908CD">
      <w:pPr>
        <w:jc w:val="both"/>
        <w:rPr>
          <w:lang w:val="en-GB"/>
        </w:rPr>
      </w:pPr>
    </w:p>
    <w:p w14:paraId="2C6BA73F" w14:textId="6D414653" w:rsidR="002908CD" w:rsidRDefault="002908CD" w:rsidP="002908CD">
      <w:pPr>
        <w:jc w:val="both"/>
        <w:rPr>
          <w:caps/>
          <w:lang w:val="en-GB"/>
        </w:rPr>
      </w:pPr>
      <w:r>
        <w:rPr>
          <w:lang w:val="en-GB"/>
        </w:rPr>
        <w:t xml:space="preserve">Indeed, the modelling is based on the similarity of the mechanical properties and therefore the important similarities between the different vehicles of </w:t>
      </w:r>
      <w:r>
        <w:rPr>
          <w:lang w:val="en-GB"/>
        </w:rPr>
        <w:fldChar w:fldCharType="begin"/>
      </w:r>
      <w:r>
        <w:rPr>
          <w:lang w:val="en-GB"/>
        </w:rPr>
        <w:instrText xml:space="preserve"> REF _Ref528578704 \h </w:instrText>
      </w:r>
      <w:r>
        <w:rPr>
          <w:lang w:val="en-GB"/>
        </w:rPr>
      </w:r>
      <w:r>
        <w:rPr>
          <w:lang w:val="en-GB"/>
        </w:rPr>
        <w:fldChar w:fldCharType="separate"/>
      </w:r>
      <w:r w:rsidR="00B276BF">
        <w:t xml:space="preserve">Figure </w:t>
      </w:r>
      <w:r w:rsidR="00B276BF">
        <w:rPr>
          <w:noProof/>
        </w:rPr>
        <w:t>2</w:t>
      </w:r>
      <w:r>
        <w:rPr>
          <w:lang w:val="en-GB"/>
        </w:rPr>
        <w:fldChar w:fldCharType="end"/>
      </w:r>
      <w:r>
        <w:rPr>
          <w:lang w:val="en-GB"/>
        </w:rPr>
        <w:t xml:space="preserve">. For a first approximation, we have interpolated the unknown elements of Tiangon-1 by a similar and adapted selection of the equipment of the ATV. </w:t>
      </w:r>
    </w:p>
    <w:p w14:paraId="330F0943" w14:textId="77777777" w:rsidR="002908CD" w:rsidRDefault="002908CD" w:rsidP="002908CD">
      <w:pPr>
        <w:jc w:val="both"/>
      </w:pPr>
      <w:r>
        <w:t>The module consists of three sections: the aft service module, a transition section and the habitation orbital module. The vehicle is 10.4 meters long and has a main diameter of 3.35 meters. It has a liftoff mass of 8,506 kilograms and provides 15 cubic meters of pressurized volume. The transition section is a small conical section 1 meter in length and 2.5 meters in diameter for the small side. Large side is 3.35 meters equal to the diameter of the habitation module. This space is believed to be holding steel alloy gas tanks filled with oxygen and nitrogen needed for the environmental system of the spacecraft. Water storage tanks are also located in this area.</w:t>
      </w:r>
    </w:p>
    <w:p w14:paraId="62E32D5F" w14:textId="77777777" w:rsidR="002908CD" w:rsidRDefault="002908CD" w:rsidP="002908CD">
      <w:pPr>
        <w:jc w:val="both"/>
      </w:pPr>
      <w:r>
        <w:t xml:space="preserve">The two solar arrays consist of four panels and are about 3.1x10 meters in dimension. With its arrays deployed, Tiangon-1 has a span of 23 meters. Silver-zinc batteries are located in the aft section. </w:t>
      </w:r>
    </w:p>
    <w:p w14:paraId="30682752" w14:textId="00F6BF09" w:rsidR="00FE3907" w:rsidRDefault="002908CD" w:rsidP="002908CD">
      <w:pPr>
        <w:jc w:val="both"/>
        <w:rPr>
          <w:lang w:val="en-GB"/>
        </w:rPr>
      </w:pPr>
      <w:r>
        <w:t xml:space="preserve">Based on those data, </w:t>
      </w:r>
      <w:r>
        <w:rPr>
          <w:lang w:val="en-GB"/>
        </w:rPr>
        <w:t>Tiangon-1 is modelled as an aluminium cylinder with 10.4m in length, 1.7 m in radius and a thickness of 5 mm. All the sub-equipment inside the vehicle are modelled by a set of simple geometric elements considering safety margin. This set consists of 183 independent objects representing a total mass of 8.5 T.</w:t>
      </w:r>
    </w:p>
    <w:p w14:paraId="150B7AD6" w14:textId="51674918" w:rsidR="002908CD" w:rsidRPr="002908CD" w:rsidRDefault="002908CD" w:rsidP="002908CD">
      <w:pPr>
        <w:pStyle w:val="Titre2"/>
      </w:pPr>
      <w:r w:rsidRPr="002908CD">
        <w:t>Ablation computation</w:t>
      </w:r>
    </w:p>
    <w:p w14:paraId="34C104B0" w14:textId="77777777" w:rsidR="002908CD" w:rsidRDefault="002908CD" w:rsidP="002908CD">
      <w:pPr>
        <w:jc w:val="both"/>
        <w:rPr>
          <w:lang w:eastAsia="en-US"/>
        </w:rPr>
      </w:pPr>
      <w:r>
        <w:t xml:space="preserve">The ablation computation for Tiangon-1 was performed with Debrisk tool V2.10 in advanced mode. The simulation included the MSIS86/CIRA88 atmosphere model and J2 component of Earth potential. We didn’t consider satellite </w:t>
      </w:r>
      <w:r>
        <w:lastRenderedPageBreak/>
        <w:t>ablation or thermal conduction between objects. We used standard parameters for the fragmentation altitude fixed at 78 km and the birth temperature of fragments set at 300 K.</w:t>
      </w:r>
    </w:p>
    <w:p w14:paraId="31CB03B1" w14:textId="542CB5C7" w:rsidR="002908CD" w:rsidRDefault="002908CD" w:rsidP="002908CD">
      <w:pPr>
        <w:jc w:val="both"/>
      </w:pPr>
      <w:r>
        <w:t>The initial conditions were computed by OCC (see section 5). From the orbit derived from the TLE of March, 19</w:t>
      </w:r>
      <w:r>
        <w:rPr>
          <w:vertAlign w:val="superscript"/>
        </w:rPr>
        <w:t>th</w:t>
      </w:r>
      <w:r>
        <w:t>, OCC extrapolated the orbit until 72h, 48h, 24h and 12h before the impact predicted at this time. Debrisk computation was performed with those 4 sets of orbital parameters. For every case, there were 90 surviving fragments with a total casualty area between 127 and 129 m</w:t>
      </w:r>
      <w:r>
        <w:rPr>
          <w:vertAlign w:val="superscript"/>
        </w:rPr>
        <w:t>2</w:t>
      </w:r>
      <w:r>
        <w:t xml:space="preserve"> [</w:t>
      </w:r>
      <w:r>
        <w:fldChar w:fldCharType="begin"/>
      </w:r>
      <w:r>
        <w:instrText xml:space="preserve"> REF _Ref528578878 \h </w:instrText>
      </w:r>
      <w:r>
        <w:fldChar w:fldCharType="separate"/>
      </w:r>
      <w:r w:rsidR="00B276BF">
        <w:t xml:space="preserve">Table </w:t>
      </w:r>
      <w:r w:rsidR="00B276BF">
        <w:rPr>
          <w:noProof/>
        </w:rPr>
        <w:t>1</w:t>
      </w:r>
      <w:r>
        <w:fldChar w:fldCharType="end"/>
      </w:r>
      <w:r>
        <w:t>]</w:t>
      </w:r>
      <w:r w:rsidR="00B35EF8">
        <w:t>.</w:t>
      </w:r>
    </w:p>
    <w:p w14:paraId="3927F5A3" w14:textId="77777777" w:rsidR="002908CD" w:rsidRDefault="002908CD" w:rsidP="002908CD">
      <w:pPr>
        <w:pStyle w:val="Lgende"/>
        <w:keepNext/>
        <w:jc w:val="center"/>
      </w:pPr>
    </w:p>
    <w:p w14:paraId="1EC6877A" w14:textId="0FB4560E" w:rsidR="002908CD" w:rsidRDefault="002908CD" w:rsidP="002908CD">
      <w:pPr>
        <w:pStyle w:val="Lgende"/>
        <w:keepNext/>
        <w:jc w:val="center"/>
      </w:pPr>
      <w:bookmarkStart w:id="2" w:name="_Ref528578878"/>
      <w:r>
        <w:t xml:space="preserve">Table </w:t>
      </w:r>
      <w:r>
        <w:fldChar w:fldCharType="begin"/>
      </w:r>
      <w:r>
        <w:instrText xml:space="preserve"> SEQ Table \* ARABIC </w:instrText>
      </w:r>
      <w:r>
        <w:fldChar w:fldCharType="separate"/>
      </w:r>
      <w:r w:rsidR="00B276BF">
        <w:rPr>
          <w:noProof/>
        </w:rPr>
        <w:t>1</w:t>
      </w:r>
      <w:r>
        <w:fldChar w:fldCharType="end"/>
      </w:r>
      <w:bookmarkEnd w:id="2"/>
      <w:r>
        <w:t xml:space="preserve">: </w:t>
      </w:r>
      <w:r w:rsidRPr="00D9336A">
        <w:t>Total CA computed by Debrisk for various initial conditions.</w:t>
      </w:r>
    </w:p>
    <w:tbl>
      <w:tblPr>
        <w:tblpPr w:leftFromText="141" w:rightFromText="141" w:vertAnchor="page" w:horzAnchor="margin" w:tblpY="4885"/>
        <w:tblW w:w="5000" w:type="pct"/>
        <w:tblLook w:val="04A0" w:firstRow="1" w:lastRow="0" w:firstColumn="1" w:lastColumn="0" w:noHBand="0" w:noVBand="1"/>
      </w:tblPr>
      <w:tblGrid>
        <w:gridCol w:w="1152"/>
        <w:gridCol w:w="824"/>
        <w:gridCol w:w="824"/>
        <w:gridCol w:w="824"/>
        <w:gridCol w:w="1233"/>
      </w:tblGrid>
      <w:tr w:rsidR="002908CD" w14:paraId="5A9DA119" w14:textId="77777777" w:rsidTr="002908CD">
        <w:trPr>
          <w:trHeight w:val="480"/>
        </w:trPr>
        <w:tc>
          <w:tcPr>
            <w:tcW w:w="118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8B4F46" w14:textId="77777777" w:rsidR="002908CD" w:rsidRDefault="002908CD" w:rsidP="002908CD">
            <w:pPr>
              <w:jc w:val="both"/>
              <w:rPr>
                <w:color w:val="000000"/>
              </w:rPr>
            </w:pPr>
            <w:r>
              <w:rPr>
                <w:color w:val="000000"/>
              </w:rPr>
              <w:t xml:space="preserve">Orbit computed from 2018/03/19 TLE </w:t>
            </w:r>
          </w:p>
        </w:tc>
        <w:tc>
          <w:tcPr>
            <w:tcW w:w="848" w:type="pct"/>
            <w:tcBorders>
              <w:top w:val="single" w:sz="4" w:space="0" w:color="auto"/>
              <w:left w:val="single" w:sz="4" w:space="0" w:color="auto"/>
              <w:bottom w:val="single" w:sz="4" w:space="0" w:color="auto"/>
              <w:right w:val="single" w:sz="4" w:space="0" w:color="auto"/>
            </w:tcBorders>
            <w:shd w:val="clear" w:color="auto" w:fill="DCE6F1"/>
            <w:vAlign w:val="center"/>
            <w:hideMark/>
          </w:tcPr>
          <w:p w14:paraId="766D0CBD" w14:textId="77777777" w:rsidR="002908CD" w:rsidRDefault="002908CD" w:rsidP="002908CD">
            <w:pPr>
              <w:jc w:val="both"/>
              <w:rPr>
                <w:color w:val="000000"/>
              </w:rPr>
            </w:pPr>
            <w:r>
              <w:rPr>
                <w:color w:val="000000"/>
              </w:rPr>
              <w:t>T-72h</w:t>
            </w:r>
          </w:p>
        </w:tc>
        <w:tc>
          <w:tcPr>
            <w:tcW w:w="848" w:type="pct"/>
            <w:tcBorders>
              <w:top w:val="single" w:sz="4" w:space="0" w:color="auto"/>
              <w:left w:val="nil"/>
              <w:bottom w:val="single" w:sz="4" w:space="0" w:color="auto"/>
              <w:right w:val="single" w:sz="4" w:space="0" w:color="auto"/>
            </w:tcBorders>
            <w:shd w:val="clear" w:color="auto" w:fill="DCE6F1"/>
            <w:vAlign w:val="center"/>
            <w:hideMark/>
          </w:tcPr>
          <w:p w14:paraId="508EA678" w14:textId="77777777" w:rsidR="002908CD" w:rsidRDefault="002908CD" w:rsidP="002908CD">
            <w:pPr>
              <w:jc w:val="both"/>
              <w:rPr>
                <w:color w:val="000000"/>
              </w:rPr>
            </w:pPr>
            <w:r>
              <w:rPr>
                <w:color w:val="000000"/>
              </w:rPr>
              <w:t>T-48h</w:t>
            </w:r>
          </w:p>
        </w:tc>
        <w:tc>
          <w:tcPr>
            <w:tcW w:w="848" w:type="pct"/>
            <w:tcBorders>
              <w:top w:val="single" w:sz="4" w:space="0" w:color="auto"/>
              <w:left w:val="nil"/>
              <w:bottom w:val="single" w:sz="4" w:space="0" w:color="auto"/>
              <w:right w:val="single" w:sz="4" w:space="0" w:color="auto"/>
            </w:tcBorders>
            <w:shd w:val="clear" w:color="auto" w:fill="DCE6F1"/>
            <w:vAlign w:val="center"/>
            <w:hideMark/>
          </w:tcPr>
          <w:p w14:paraId="0B953485" w14:textId="77777777" w:rsidR="002908CD" w:rsidRDefault="002908CD" w:rsidP="002908CD">
            <w:pPr>
              <w:jc w:val="both"/>
              <w:rPr>
                <w:color w:val="000000"/>
              </w:rPr>
            </w:pPr>
            <w:r>
              <w:rPr>
                <w:color w:val="000000"/>
              </w:rPr>
              <w:t>T-24h</w:t>
            </w:r>
          </w:p>
        </w:tc>
        <w:tc>
          <w:tcPr>
            <w:tcW w:w="1269" w:type="pct"/>
            <w:tcBorders>
              <w:top w:val="single" w:sz="4" w:space="0" w:color="auto"/>
              <w:left w:val="nil"/>
              <w:bottom w:val="single" w:sz="4" w:space="0" w:color="auto"/>
              <w:right w:val="single" w:sz="4" w:space="0" w:color="auto"/>
            </w:tcBorders>
            <w:shd w:val="clear" w:color="auto" w:fill="DCE6F1"/>
            <w:vAlign w:val="center"/>
            <w:hideMark/>
          </w:tcPr>
          <w:p w14:paraId="760C8D82" w14:textId="77777777" w:rsidR="002908CD" w:rsidRDefault="002908CD" w:rsidP="002908CD">
            <w:pPr>
              <w:jc w:val="both"/>
              <w:rPr>
                <w:color w:val="000000"/>
              </w:rPr>
            </w:pPr>
            <w:r>
              <w:rPr>
                <w:color w:val="000000"/>
              </w:rPr>
              <w:t>T-12h</w:t>
            </w:r>
          </w:p>
        </w:tc>
      </w:tr>
      <w:tr w:rsidR="002908CD" w14:paraId="4A75A21E" w14:textId="77777777" w:rsidTr="002908CD">
        <w:trPr>
          <w:trHeight w:val="480"/>
        </w:trPr>
        <w:tc>
          <w:tcPr>
            <w:tcW w:w="1186" w:type="pct"/>
            <w:tcBorders>
              <w:top w:val="single" w:sz="4" w:space="0" w:color="auto"/>
              <w:left w:val="single" w:sz="4" w:space="0" w:color="auto"/>
              <w:bottom w:val="single" w:sz="4" w:space="0" w:color="auto"/>
              <w:right w:val="single" w:sz="4" w:space="0" w:color="auto"/>
            </w:tcBorders>
            <w:shd w:val="clear" w:color="auto" w:fill="DCE6F1"/>
            <w:vAlign w:val="center"/>
            <w:hideMark/>
          </w:tcPr>
          <w:p w14:paraId="6C3A1312" w14:textId="77777777" w:rsidR="002908CD" w:rsidRDefault="002908CD" w:rsidP="002908CD">
            <w:pPr>
              <w:jc w:val="both"/>
              <w:rPr>
                <w:color w:val="000000"/>
              </w:rPr>
            </w:pPr>
            <w:r>
              <w:rPr>
                <w:color w:val="000000"/>
              </w:rPr>
              <w:t>Casualty area (m</w:t>
            </w:r>
            <w:r>
              <w:rPr>
                <w:color w:val="000000"/>
                <w:vertAlign w:val="superscript"/>
              </w:rPr>
              <w:t>2</w:t>
            </w:r>
            <w:r>
              <w:rPr>
                <w:color w:val="000000"/>
              </w:rPr>
              <w:t>)</w:t>
            </w:r>
          </w:p>
        </w:tc>
        <w:tc>
          <w:tcPr>
            <w:tcW w:w="848" w:type="pct"/>
            <w:tcBorders>
              <w:top w:val="single" w:sz="4" w:space="0" w:color="auto"/>
              <w:left w:val="single" w:sz="4" w:space="0" w:color="auto"/>
              <w:bottom w:val="single" w:sz="4" w:space="0" w:color="auto"/>
              <w:right w:val="single" w:sz="4" w:space="0" w:color="auto"/>
            </w:tcBorders>
            <w:vAlign w:val="center"/>
            <w:hideMark/>
          </w:tcPr>
          <w:p w14:paraId="0AFA9553" w14:textId="77777777" w:rsidR="002908CD" w:rsidRDefault="002908CD" w:rsidP="002908CD">
            <w:pPr>
              <w:jc w:val="both"/>
              <w:rPr>
                <w:color w:val="000000"/>
              </w:rPr>
            </w:pPr>
            <w:r>
              <w:rPr>
                <w:lang w:val="fr-FR" w:eastAsia="fr-FR"/>
              </w:rPr>
              <w:t xml:space="preserve">129.03 </w:t>
            </w:r>
          </w:p>
        </w:tc>
        <w:tc>
          <w:tcPr>
            <w:tcW w:w="848" w:type="pct"/>
            <w:tcBorders>
              <w:top w:val="single" w:sz="4" w:space="0" w:color="auto"/>
              <w:left w:val="nil"/>
              <w:bottom w:val="single" w:sz="4" w:space="0" w:color="auto"/>
              <w:right w:val="single" w:sz="4" w:space="0" w:color="auto"/>
            </w:tcBorders>
            <w:vAlign w:val="center"/>
            <w:hideMark/>
          </w:tcPr>
          <w:p w14:paraId="4A3F4753" w14:textId="77777777" w:rsidR="002908CD" w:rsidRDefault="002908CD" w:rsidP="002908CD">
            <w:pPr>
              <w:jc w:val="both"/>
              <w:rPr>
                <w:color w:val="000000"/>
              </w:rPr>
            </w:pPr>
            <w:r>
              <w:rPr>
                <w:lang w:val="fr-FR" w:eastAsia="fr-FR"/>
              </w:rPr>
              <w:t>127.87</w:t>
            </w:r>
          </w:p>
        </w:tc>
        <w:tc>
          <w:tcPr>
            <w:tcW w:w="848" w:type="pct"/>
            <w:tcBorders>
              <w:top w:val="single" w:sz="4" w:space="0" w:color="auto"/>
              <w:left w:val="nil"/>
              <w:bottom w:val="single" w:sz="4" w:space="0" w:color="auto"/>
              <w:right w:val="single" w:sz="4" w:space="0" w:color="auto"/>
            </w:tcBorders>
            <w:vAlign w:val="center"/>
            <w:hideMark/>
          </w:tcPr>
          <w:p w14:paraId="78A02180" w14:textId="77777777" w:rsidR="002908CD" w:rsidRDefault="002908CD" w:rsidP="002908CD">
            <w:pPr>
              <w:jc w:val="both"/>
              <w:rPr>
                <w:color w:val="000000"/>
              </w:rPr>
            </w:pPr>
            <w:r>
              <w:rPr>
                <w:lang w:val="fr-FR" w:eastAsia="fr-FR"/>
              </w:rPr>
              <w:t>129.50</w:t>
            </w:r>
          </w:p>
        </w:tc>
        <w:tc>
          <w:tcPr>
            <w:tcW w:w="1269" w:type="pct"/>
            <w:tcBorders>
              <w:top w:val="single" w:sz="4" w:space="0" w:color="auto"/>
              <w:left w:val="nil"/>
              <w:bottom w:val="single" w:sz="4" w:space="0" w:color="auto"/>
              <w:right w:val="single" w:sz="4" w:space="0" w:color="auto"/>
            </w:tcBorders>
            <w:vAlign w:val="center"/>
            <w:hideMark/>
          </w:tcPr>
          <w:p w14:paraId="32323059" w14:textId="77777777" w:rsidR="002908CD" w:rsidRDefault="002908CD" w:rsidP="002908CD">
            <w:pPr>
              <w:jc w:val="both"/>
              <w:rPr>
                <w:color w:val="000000"/>
              </w:rPr>
            </w:pPr>
            <w:r>
              <w:rPr>
                <w:lang w:val="fr-FR" w:eastAsia="fr-FR"/>
              </w:rPr>
              <w:t>128.93</w:t>
            </w:r>
          </w:p>
        </w:tc>
      </w:tr>
    </w:tbl>
    <w:p w14:paraId="6317990B" w14:textId="4B649FCB" w:rsidR="002908CD" w:rsidRDefault="002908CD" w:rsidP="002908CD">
      <w:pPr>
        <w:jc w:val="both"/>
      </w:pPr>
      <w:r>
        <w:t>Thus, the list of surviving debris didn’t change in the last days before the impact. It appeared unnecessary to update the fragments list each time a new orbit was computed. An ultimate ablation computation was performed using March 26</w:t>
      </w:r>
      <w:r>
        <w:rPr>
          <w:vertAlign w:val="superscript"/>
        </w:rPr>
        <w:t>th</w:t>
      </w:r>
      <w:r>
        <w:t xml:space="preserve"> orbital data. The number of surviving fragments was still 90 and the total casualty area was 129.09 m</w:t>
      </w:r>
      <w:r>
        <w:rPr>
          <w:vertAlign w:val="superscript"/>
        </w:rPr>
        <w:t>2</w:t>
      </w:r>
      <w:r>
        <w:t>. This list of fragments was used for the risk computation in the last hours before impact from March, 30</w:t>
      </w:r>
      <w:r>
        <w:rPr>
          <w:vertAlign w:val="superscript"/>
        </w:rPr>
        <w:t>th</w:t>
      </w:r>
      <w:r>
        <w:t>.</w:t>
      </w:r>
    </w:p>
    <w:p w14:paraId="6E52F94C" w14:textId="77777777" w:rsidR="002908CD" w:rsidRDefault="002908CD" w:rsidP="002908CD">
      <w:pPr>
        <w:jc w:val="both"/>
      </w:pPr>
    </w:p>
    <w:p w14:paraId="0B088E15" w14:textId="4C0CF69C" w:rsidR="00F1090D" w:rsidRDefault="002908CD" w:rsidP="00F1090D">
      <w:pPr>
        <w:pStyle w:val="Titre1"/>
        <w:tabs>
          <w:tab w:val="clear" w:pos="432"/>
        </w:tabs>
        <w:suppressAutoHyphens/>
        <w:spacing w:before="0" w:after="240"/>
        <w:ind w:left="431" w:right="0" w:hanging="431"/>
        <w:rPr>
          <w:lang w:val="en-US"/>
        </w:rPr>
      </w:pPr>
      <w:r>
        <w:t>OPERATIONAL ORBIT DETERMINATION</w:t>
      </w:r>
      <w:r>
        <w:rPr>
          <w:lang w:val="en-US"/>
        </w:rPr>
        <w:t xml:space="preserve"> </w:t>
      </w:r>
    </w:p>
    <w:p w14:paraId="285DA4BA" w14:textId="21D2BD58" w:rsidR="002908CD" w:rsidRPr="000068A5" w:rsidRDefault="002908CD" w:rsidP="002908CD">
      <w:pPr>
        <w:pStyle w:val="Titre2"/>
        <w:rPr>
          <w:lang w:val="en-US"/>
        </w:rPr>
      </w:pPr>
      <w:r w:rsidRPr="000068A5">
        <w:rPr>
          <w:lang w:val="en-US"/>
        </w:rPr>
        <w:t xml:space="preserve">Medium-term </w:t>
      </w:r>
      <w:proofErr w:type="gramStart"/>
      <w:r w:rsidR="00B35EF8" w:rsidRPr="000068A5">
        <w:rPr>
          <w:lang w:val="en-US"/>
        </w:rPr>
        <w:t>prediction :</w:t>
      </w:r>
      <w:proofErr w:type="gramEnd"/>
      <w:r w:rsidRPr="000068A5">
        <w:rPr>
          <w:lang w:val="en-US"/>
        </w:rPr>
        <w:t xml:space="preserve"> using TLE data</w:t>
      </w:r>
    </w:p>
    <w:p w14:paraId="7A03AC1E" w14:textId="77777777" w:rsidR="002908CD" w:rsidRDefault="002908CD" w:rsidP="002908CD">
      <w:pPr>
        <w:jc w:val="both"/>
        <w:rPr>
          <w:lang w:eastAsia="en-US"/>
        </w:rPr>
      </w:pPr>
      <w:r>
        <w:t xml:space="preserve">All the studies related to Tiangon-1 re-entry used orbital parameters provided by OCC. At medium term before the re-entry date, the only data we had were the TLE distributed by USSTRATCOM through </w:t>
      </w:r>
      <w:proofErr w:type="spellStart"/>
      <w:r>
        <w:t>SpaceTrack</w:t>
      </w:r>
      <w:proofErr w:type="spellEnd"/>
      <w:r>
        <w:t xml:space="preserve"> website. </w:t>
      </w:r>
    </w:p>
    <w:p w14:paraId="69DD3968" w14:textId="79EF02E4" w:rsidR="002908CD" w:rsidRDefault="002908CD" w:rsidP="002908CD">
      <w:pPr>
        <w:jc w:val="both"/>
      </w:pPr>
      <w:r>
        <w:t>The CNES tool OPERA computes, from a TLE history, an approximate re-entry date with an associated uncertainty. OCC used TLE data to estimate a theoretical impact date T for the space station and then generate orbital parameters at T-72h, T-48h, T-24h and T-12h. Those orbital conditions were used in the weeks before re-entry to adjust and optimized the configuration of Debrisk and Electra tools.</w:t>
      </w:r>
    </w:p>
    <w:p w14:paraId="2B0C3C22" w14:textId="12E10FAE" w:rsidR="002908CD" w:rsidRPr="000068A5" w:rsidRDefault="002908CD" w:rsidP="002908CD">
      <w:pPr>
        <w:pStyle w:val="Titre2"/>
        <w:rPr>
          <w:lang w:val="en-US"/>
        </w:rPr>
      </w:pPr>
      <w:r w:rsidRPr="000068A5">
        <w:rPr>
          <w:lang w:val="en-US"/>
        </w:rPr>
        <w:t>Short term prediction: using orbit determination</w:t>
      </w:r>
    </w:p>
    <w:p w14:paraId="2655A081" w14:textId="5B2A3AD1" w:rsidR="002908CD" w:rsidRDefault="002908CD" w:rsidP="002908CD">
      <w:pPr>
        <w:jc w:val="both"/>
        <w:rPr>
          <w:lang w:eastAsia="en-US"/>
        </w:rPr>
      </w:pPr>
      <w:r>
        <w:t xml:space="preserve">From March 26th, OCC received RADAR data from GRAVES, SATAM, DGA, TIRA, JAXA, US, MDFR to perform orbit determination. Through close collaboration with COSMOS (part of French Air Force), the main data at our disposal came from GRAVES and SATAM radars. Other data were available from other </w:t>
      </w:r>
      <w:proofErr w:type="spellStart"/>
      <w:r w:rsidR="00B35EF8">
        <w:t>organisations</w:t>
      </w:r>
      <w:proofErr w:type="spellEnd"/>
      <w:r>
        <w:t xml:space="preserve"> in EUSST (European Space Surveillance and Tracking) context and thanks to agreements with other countries. The first orbit determination by OCC was performed on March 26</w:t>
      </w:r>
      <w:r>
        <w:rPr>
          <w:vertAlign w:val="superscript"/>
        </w:rPr>
        <w:t>th</w:t>
      </w:r>
      <w:r>
        <w:t>. Then, an orbit and impact date estimation were computed every day from March 26</w:t>
      </w:r>
      <w:r>
        <w:rPr>
          <w:vertAlign w:val="superscript"/>
        </w:rPr>
        <w:t>th</w:t>
      </w:r>
      <w:r>
        <w:t xml:space="preserve"> until actual re-entry on April 1</w:t>
      </w:r>
      <w:r>
        <w:rPr>
          <w:vertAlign w:val="superscript"/>
        </w:rPr>
        <w:t>st</w:t>
      </w:r>
      <w:r>
        <w:t>.</w:t>
      </w:r>
    </w:p>
    <w:p w14:paraId="67A35F23" w14:textId="77777777" w:rsidR="002908CD" w:rsidRDefault="002908CD" w:rsidP="002908CD">
      <w:pPr>
        <w:jc w:val="both"/>
      </w:pPr>
      <w:r>
        <w:rPr>
          <w:lang w:val="en"/>
        </w:rPr>
        <w:t>Once the orbit was computed, the trajectory of the station was extrapolated to determine the date of re-entry. Then, we applied an uncertainty on the estimated atmospheric drag coefficient in order to deduce the re-entry window.</w:t>
      </w:r>
    </w:p>
    <w:p w14:paraId="00D803CB" w14:textId="77777777" w:rsidR="002908CD" w:rsidRDefault="002908CD" w:rsidP="002908CD">
      <w:pPr>
        <w:jc w:val="both"/>
      </w:pPr>
      <w:r>
        <w:t>One of the difficulties was to successfully integrate different sensor data in the orbit restitution. Indeed, it was necessary to suppress too erroneous data, to re-sample the data not to favor a sensor compared to the others and, if necessary, to calibrate the sensors and estimate bias.</w:t>
      </w:r>
    </w:p>
    <w:p w14:paraId="719DBCE5" w14:textId="34D3F34C" w:rsidR="002908CD" w:rsidRDefault="002908CD" w:rsidP="002908CD">
      <w:pPr>
        <w:jc w:val="both"/>
      </w:pPr>
      <w:r>
        <w:fldChar w:fldCharType="begin"/>
      </w:r>
      <w:r>
        <w:instrText xml:space="preserve"> REF _Ref528579072 \h </w:instrText>
      </w:r>
      <w:r>
        <w:fldChar w:fldCharType="separate"/>
      </w:r>
      <w:r w:rsidR="00B276BF">
        <w:t xml:space="preserve">Table </w:t>
      </w:r>
      <w:r w:rsidR="00B276BF">
        <w:rPr>
          <w:noProof/>
        </w:rPr>
        <w:t>2</w:t>
      </w:r>
      <w:r>
        <w:fldChar w:fldCharType="end"/>
      </w:r>
      <w:r>
        <w:t xml:space="preserve"> summarizes, for each computation date, the re-entry date with its associated re-entry window, if any.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3434"/>
      </w:tblGrid>
      <w:tr w:rsidR="002908CD" w14:paraId="2B7DC0AF" w14:textId="77777777" w:rsidTr="002908CD">
        <w:trPr>
          <w:trHeight w:val="567"/>
        </w:trPr>
        <w:tc>
          <w:tcPr>
            <w:tcW w:w="1327" w:type="dxa"/>
            <w:tcBorders>
              <w:top w:val="single" w:sz="4" w:space="0" w:color="auto"/>
              <w:left w:val="single" w:sz="4" w:space="0" w:color="auto"/>
              <w:bottom w:val="single" w:sz="4" w:space="0" w:color="auto"/>
              <w:right w:val="single" w:sz="4" w:space="0" w:color="auto"/>
            </w:tcBorders>
            <w:shd w:val="clear" w:color="auto" w:fill="DEEAF6"/>
            <w:hideMark/>
          </w:tcPr>
          <w:p w14:paraId="35C2CC05" w14:textId="77777777" w:rsidR="002908CD" w:rsidRDefault="002908CD">
            <w:pPr>
              <w:rPr>
                <w:color w:val="000000"/>
                <w:lang w:eastAsia="en-US"/>
              </w:rPr>
            </w:pPr>
            <w:r>
              <w:rPr>
                <w:color w:val="000000"/>
              </w:rPr>
              <w:t>TLE date</w:t>
            </w:r>
          </w:p>
        </w:tc>
        <w:tc>
          <w:tcPr>
            <w:tcW w:w="3434" w:type="dxa"/>
            <w:tcBorders>
              <w:top w:val="single" w:sz="4" w:space="0" w:color="auto"/>
              <w:left w:val="single" w:sz="4" w:space="0" w:color="auto"/>
              <w:bottom w:val="single" w:sz="4" w:space="0" w:color="auto"/>
              <w:right w:val="single" w:sz="4" w:space="0" w:color="auto"/>
            </w:tcBorders>
            <w:shd w:val="clear" w:color="auto" w:fill="DEEAF6"/>
            <w:hideMark/>
          </w:tcPr>
          <w:p w14:paraId="0D19A28D" w14:textId="77777777" w:rsidR="002908CD" w:rsidRDefault="002908CD">
            <w:pPr>
              <w:rPr>
                <w:color w:val="000000"/>
              </w:rPr>
            </w:pPr>
            <w:r>
              <w:rPr>
                <w:color w:val="000000"/>
              </w:rPr>
              <w:t>Impact date estimate</w:t>
            </w:r>
          </w:p>
        </w:tc>
      </w:tr>
      <w:tr w:rsidR="002908CD" w14:paraId="5931ADC2" w14:textId="77777777" w:rsidTr="002908CD">
        <w:trPr>
          <w:trHeight w:val="567"/>
        </w:trPr>
        <w:tc>
          <w:tcPr>
            <w:tcW w:w="1327" w:type="dxa"/>
            <w:tcBorders>
              <w:top w:val="single" w:sz="4" w:space="0" w:color="auto"/>
              <w:left w:val="single" w:sz="4" w:space="0" w:color="auto"/>
              <w:bottom w:val="single" w:sz="4" w:space="0" w:color="auto"/>
              <w:right w:val="single" w:sz="4" w:space="0" w:color="auto"/>
            </w:tcBorders>
            <w:hideMark/>
          </w:tcPr>
          <w:p w14:paraId="1255BBAA" w14:textId="77777777" w:rsidR="002908CD" w:rsidRDefault="002908CD">
            <w:r>
              <w:t>2018/03/19</w:t>
            </w:r>
          </w:p>
        </w:tc>
        <w:tc>
          <w:tcPr>
            <w:tcW w:w="3434" w:type="dxa"/>
            <w:tcBorders>
              <w:top w:val="single" w:sz="4" w:space="0" w:color="auto"/>
              <w:left w:val="single" w:sz="4" w:space="0" w:color="auto"/>
              <w:bottom w:val="single" w:sz="4" w:space="0" w:color="auto"/>
              <w:right w:val="single" w:sz="4" w:space="0" w:color="auto"/>
            </w:tcBorders>
            <w:hideMark/>
          </w:tcPr>
          <w:p w14:paraId="7E0D242C" w14:textId="77777777" w:rsidR="002908CD" w:rsidRDefault="002908CD">
            <w:r>
              <w:t>2018/04/03 19:39</w:t>
            </w:r>
          </w:p>
        </w:tc>
      </w:tr>
      <w:tr w:rsidR="002908CD" w14:paraId="537DACCB" w14:textId="77777777" w:rsidTr="002908CD">
        <w:trPr>
          <w:trHeight w:val="567"/>
        </w:trPr>
        <w:tc>
          <w:tcPr>
            <w:tcW w:w="1327" w:type="dxa"/>
            <w:tcBorders>
              <w:top w:val="single" w:sz="4" w:space="0" w:color="auto"/>
              <w:left w:val="single" w:sz="4" w:space="0" w:color="auto"/>
              <w:bottom w:val="single" w:sz="4" w:space="0" w:color="auto"/>
              <w:right w:val="single" w:sz="4" w:space="0" w:color="auto"/>
            </w:tcBorders>
            <w:hideMark/>
          </w:tcPr>
          <w:p w14:paraId="61E3DC64" w14:textId="77777777" w:rsidR="002908CD" w:rsidRDefault="002908CD">
            <w:r>
              <w:t>2018/03/20</w:t>
            </w:r>
          </w:p>
        </w:tc>
        <w:tc>
          <w:tcPr>
            <w:tcW w:w="3434" w:type="dxa"/>
            <w:tcBorders>
              <w:top w:val="single" w:sz="4" w:space="0" w:color="auto"/>
              <w:left w:val="single" w:sz="4" w:space="0" w:color="auto"/>
              <w:bottom w:val="single" w:sz="4" w:space="0" w:color="auto"/>
              <w:right w:val="single" w:sz="4" w:space="0" w:color="auto"/>
            </w:tcBorders>
            <w:hideMark/>
          </w:tcPr>
          <w:p w14:paraId="7D8ADE43" w14:textId="77777777" w:rsidR="002908CD" w:rsidRDefault="002908CD">
            <w:r>
              <w:t>2018/04/03 01:06</w:t>
            </w:r>
          </w:p>
        </w:tc>
      </w:tr>
      <w:tr w:rsidR="002908CD" w14:paraId="72BB9CEE" w14:textId="77777777" w:rsidTr="002908CD">
        <w:trPr>
          <w:trHeight w:val="567"/>
        </w:trPr>
        <w:tc>
          <w:tcPr>
            <w:tcW w:w="1327" w:type="dxa"/>
            <w:tcBorders>
              <w:top w:val="single" w:sz="4" w:space="0" w:color="auto"/>
              <w:left w:val="single" w:sz="4" w:space="0" w:color="auto"/>
              <w:bottom w:val="single" w:sz="4" w:space="0" w:color="auto"/>
              <w:right w:val="single" w:sz="4" w:space="0" w:color="auto"/>
            </w:tcBorders>
            <w:shd w:val="clear" w:color="auto" w:fill="DEEAF6"/>
            <w:hideMark/>
          </w:tcPr>
          <w:p w14:paraId="175ADCB6" w14:textId="77777777" w:rsidR="002908CD" w:rsidRDefault="002908CD">
            <w:pPr>
              <w:rPr>
                <w:color w:val="000000"/>
              </w:rPr>
            </w:pPr>
            <w:r>
              <w:rPr>
                <w:color w:val="000000"/>
              </w:rPr>
              <w:t>Orbit determination date</w:t>
            </w:r>
          </w:p>
        </w:tc>
        <w:tc>
          <w:tcPr>
            <w:tcW w:w="3434" w:type="dxa"/>
            <w:tcBorders>
              <w:top w:val="single" w:sz="4" w:space="0" w:color="auto"/>
              <w:left w:val="single" w:sz="4" w:space="0" w:color="auto"/>
              <w:bottom w:val="single" w:sz="4" w:space="0" w:color="auto"/>
              <w:right w:val="single" w:sz="4" w:space="0" w:color="auto"/>
            </w:tcBorders>
            <w:shd w:val="clear" w:color="auto" w:fill="DEEAF6"/>
            <w:hideMark/>
          </w:tcPr>
          <w:p w14:paraId="13D1FA5A" w14:textId="77777777" w:rsidR="002908CD" w:rsidRDefault="002908CD">
            <w:pPr>
              <w:rPr>
                <w:color w:val="000000"/>
              </w:rPr>
            </w:pPr>
            <w:r>
              <w:rPr>
                <w:color w:val="000000"/>
              </w:rPr>
              <w:t xml:space="preserve">Impact date estimate nominal, </w:t>
            </w:r>
          </w:p>
          <w:p w14:paraId="797E0610" w14:textId="77777777" w:rsidR="002908CD" w:rsidRDefault="002908CD">
            <w:pPr>
              <w:rPr>
                <w:color w:val="000000"/>
              </w:rPr>
            </w:pPr>
            <w:r>
              <w:rPr>
                <w:color w:val="000000"/>
              </w:rPr>
              <w:t>[ minimum – maximum estimate]</w:t>
            </w:r>
          </w:p>
        </w:tc>
      </w:tr>
      <w:tr w:rsidR="002908CD" w14:paraId="3028E92C" w14:textId="77777777" w:rsidTr="002908CD">
        <w:trPr>
          <w:trHeight w:val="567"/>
        </w:trPr>
        <w:tc>
          <w:tcPr>
            <w:tcW w:w="1327" w:type="dxa"/>
            <w:tcBorders>
              <w:top w:val="single" w:sz="4" w:space="0" w:color="auto"/>
              <w:left w:val="single" w:sz="4" w:space="0" w:color="auto"/>
              <w:bottom w:val="single" w:sz="4" w:space="0" w:color="auto"/>
              <w:right w:val="single" w:sz="4" w:space="0" w:color="auto"/>
            </w:tcBorders>
            <w:hideMark/>
          </w:tcPr>
          <w:p w14:paraId="22803FE3" w14:textId="77777777" w:rsidR="002908CD" w:rsidRDefault="002908CD">
            <w:r>
              <w:t>2018/03/26 14h30</w:t>
            </w:r>
          </w:p>
        </w:tc>
        <w:tc>
          <w:tcPr>
            <w:tcW w:w="3434" w:type="dxa"/>
            <w:tcBorders>
              <w:top w:val="single" w:sz="4" w:space="0" w:color="auto"/>
              <w:left w:val="single" w:sz="4" w:space="0" w:color="auto"/>
              <w:bottom w:val="single" w:sz="4" w:space="0" w:color="auto"/>
              <w:right w:val="single" w:sz="4" w:space="0" w:color="auto"/>
            </w:tcBorders>
            <w:hideMark/>
          </w:tcPr>
          <w:p w14:paraId="2D1FB0D2" w14:textId="77777777" w:rsidR="002908CD" w:rsidRDefault="002908CD">
            <w:pPr>
              <w:rPr>
                <w:lang w:val="fr-FR" w:eastAsia="fr-FR"/>
              </w:rPr>
            </w:pPr>
            <w:r>
              <w:rPr>
                <w:lang w:val="fr-FR" w:eastAsia="fr-FR"/>
              </w:rPr>
              <w:t xml:space="preserve">2018/04/01 </w:t>
            </w:r>
            <w:proofErr w:type="gramStart"/>
            <w:r>
              <w:rPr>
                <w:lang w:val="fr-FR" w:eastAsia="fr-FR"/>
              </w:rPr>
              <w:t>01:</w:t>
            </w:r>
            <w:proofErr w:type="gramEnd"/>
            <w:r>
              <w:rPr>
                <w:lang w:val="fr-FR" w:eastAsia="fr-FR"/>
              </w:rPr>
              <w:t>51:41</w:t>
            </w:r>
          </w:p>
          <w:p w14:paraId="33CF3B76" w14:textId="77777777" w:rsidR="002908CD" w:rsidRDefault="002908CD">
            <w:pPr>
              <w:rPr>
                <w:i/>
                <w:lang w:eastAsia="en-US"/>
              </w:rPr>
            </w:pPr>
            <w:r>
              <w:rPr>
                <w:i/>
                <w:lang w:val="fr-FR" w:eastAsia="fr-FR"/>
              </w:rPr>
              <w:t>[2018/03/31 08:07, 2018/04/02 02:17]</w:t>
            </w:r>
          </w:p>
        </w:tc>
      </w:tr>
      <w:tr w:rsidR="002908CD" w14:paraId="30AD26E2" w14:textId="77777777" w:rsidTr="002908CD">
        <w:trPr>
          <w:trHeight w:val="567"/>
        </w:trPr>
        <w:tc>
          <w:tcPr>
            <w:tcW w:w="1327" w:type="dxa"/>
            <w:tcBorders>
              <w:top w:val="single" w:sz="4" w:space="0" w:color="auto"/>
              <w:left w:val="single" w:sz="4" w:space="0" w:color="auto"/>
              <w:bottom w:val="single" w:sz="4" w:space="0" w:color="auto"/>
              <w:right w:val="single" w:sz="4" w:space="0" w:color="auto"/>
            </w:tcBorders>
            <w:hideMark/>
          </w:tcPr>
          <w:p w14:paraId="2C860584" w14:textId="77777777" w:rsidR="002908CD" w:rsidRDefault="002908CD">
            <w:r>
              <w:rPr>
                <w:lang w:val="fr-FR" w:eastAsia="fr-FR"/>
              </w:rPr>
              <w:t>2018/03/27 14h00</w:t>
            </w:r>
          </w:p>
        </w:tc>
        <w:tc>
          <w:tcPr>
            <w:tcW w:w="3434" w:type="dxa"/>
            <w:tcBorders>
              <w:top w:val="single" w:sz="4" w:space="0" w:color="auto"/>
              <w:left w:val="single" w:sz="4" w:space="0" w:color="auto"/>
              <w:bottom w:val="single" w:sz="4" w:space="0" w:color="auto"/>
              <w:right w:val="single" w:sz="4" w:space="0" w:color="auto"/>
            </w:tcBorders>
            <w:hideMark/>
          </w:tcPr>
          <w:p w14:paraId="2C8E6C33" w14:textId="77777777" w:rsidR="002908CD" w:rsidRDefault="002908CD">
            <w:pPr>
              <w:rPr>
                <w:lang w:val="fr-FR" w:eastAsia="fr-FR"/>
              </w:rPr>
            </w:pPr>
            <w:r>
              <w:rPr>
                <w:lang w:val="fr-FR" w:eastAsia="fr-FR"/>
              </w:rPr>
              <w:t xml:space="preserve">2018/04/01 </w:t>
            </w:r>
            <w:proofErr w:type="gramStart"/>
            <w:r>
              <w:rPr>
                <w:lang w:val="fr-FR" w:eastAsia="fr-FR"/>
              </w:rPr>
              <w:t>06:</w:t>
            </w:r>
            <w:proofErr w:type="gramEnd"/>
            <w:r>
              <w:rPr>
                <w:lang w:val="fr-FR" w:eastAsia="fr-FR"/>
              </w:rPr>
              <w:t>37:11</w:t>
            </w:r>
          </w:p>
          <w:p w14:paraId="6ED9B2CC" w14:textId="77777777" w:rsidR="002908CD" w:rsidRDefault="002908CD">
            <w:pPr>
              <w:rPr>
                <w:i/>
                <w:lang w:eastAsia="en-US"/>
              </w:rPr>
            </w:pPr>
            <w:r>
              <w:rPr>
                <w:i/>
                <w:lang w:val="fr-FR" w:eastAsia="fr-FR"/>
              </w:rPr>
              <w:t>[2018/03/31 15:34, 2018/04/02 03:41]</w:t>
            </w:r>
          </w:p>
        </w:tc>
      </w:tr>
      <w:tr w:rsidR="002908CD" w14:paraId="5EA270AE" w14:textId="77777777" w:rsidTr="002908CD">
        <w:trPr>
          <w:trHeight w:val="567"/>
        </w:trPr>
        <w:tc>
          <w:tcPr>
            <w:tcW w:w="1327" w:type="dxa"/>
            <w:tcBorders>
              <w:top w:val="single" w:sz="4" w:space="0" w:color="auto"/>
              <w:left w:val="single" w:sz="4" w:space="0" w:color="auto"/>
              <w:bottom w:val="single" w:sz="4" w:space="0" w:color="auto"/>
              <w:right w:val="single" w:sz="4" w:space="0" w:color="auto"/>
            </w:tcBorders>
            <w:hideMark/>
          </w:tcPr>
          <w:p w14:paraId="7DB97FCB" w14:textId="77777777" w:rsidR="002908CD" w:rsidRDefault="002908CD">
            <w:r>
              <w:rPr>
                <w:lang w:val="fr-FR" w:eastAsia="fr-FR"/>
              </w:rPr>
              <w:t>2018/03/29 14h00</w:t>
            </w:r>
          </w:p>
        </w:tc>
        <w:tc>
          <w:tcPr>
            <w:tcW w:w="3434" w:type="dxa"/>
            <w:tcBorders>
              <w:top w:val="single" w:sz="4" w:space="0" w:color="auto"/>
              <w:left w:val="single" w:sz="4" w:space="0" w:color="auto"/>
              <w:bottom w:val="single" w:sz="4" w:space="0" w:color="auto"/>
              <w:right w:val="single" w:sz="4" w:space="0" w:color="auto"/>
            </w:tcBorders>
            <w:hideMark/>
          </w:tcPr>
          <w:p w14:paraId="50688AD4" w14:textId="77777777" w:rsidR="002908CD" w:rsidRDefault="002908CD">
            <w:pPr>
              <w:rPr>
                <w:lang w:val="fr-FR" w:eastAsia="fr-FR"/>
              </w:rPr>
            </w:pPr>
            <w:r>
              <w:rPr>
                <w:lang w:val="fr-FR" w:eastAsia="fr-FR"/>
              </w:rPr>
              <w:t xml:space="preserve">2018/04/01 </w:t>
            </w:r>
            <w:proofErr w:type="gramStart"/>
            <w:r>
              <w:rPr>
                <w:lang w:val="fr-FR" w:eastAsia="fr-FR"/>
              </w:rPr>
              <w:t>04:</w:t>
            </w:r>
            <w:proofErr w:type="gramEnd"/>
            <w:r>
              <w:rPr>
                <w:lang w:val="fr-FR" w:eastAsia="fr-FR"/>
              </w:rPr>
              <w:t>49</w:t>
            </w:r>
          </w:p>
          <w:p w14:paraId="55A2B910" w14:textId="77777777" w:rsidR="002908CD" w:rsidRDefault="002908CD">
            <w:pPr>
              <w:rPr>
                <w:i/>
                <w:lang w:eastAsia="en-US"/>
              </w:rPr>
            </w:pPr>
            <w:r>
              <w:rPr>
                <w:i/>
                <w:lang w:val="fr-FR" w:eastAsia="fr-FR"/>
              </w:rPr>
              <w:t>[2018/03/31 17:29, 2018/04/02 22:06]</w:t>
            </w:r>
          </w:p>
        </w:tc>
      </w:tr>
      <w:tr w:rsidR="002908CD" w14:paraId="70F8257A" w14:textId="77777777" w:rsidTr="002908CD">
        <w:trPr>
          <w:trHeight w:val="567"/>
        </w:trPr>
        <w:tc>
          <w:tcPr>
            <w:tcW w:w="1327" w:type="dxa"/>
            <w:tcBorders>
              <w:top w:val="single" w:sz="4" w:space="0" w:color="auto"/>
              <w:left w:val="single" w:sz="4" w:space="0" w:color="auto"/>
              <w:bottom w:val="single" w:sz="4" w:space="0" w:color="auto"/>
              <w:right w:val="single" w:sz="4" w:space="0" w:color="auto"/>
            </w:tcBorders>
            <w:hideMark/>
          </w:tcPr>
          <w:p w14:paraId="18C9A332" w14:textId="77777777" w:rsidR="002908CD" w:rsidRDefault="002908CD">
            <w:r>
              <w:rPr>
                <w:lang w:val="fr-FR" w:eastAsia="fr-FR"/>
              </w:rPr>
              <w:t>2018/03/30 9h00</w:t>
            </w:r>
          </w:p>
        </w:tc>
        <w:tc>
          <w:tcPr>
            <w:tcW w:w="3434" w:type="dxa"/>
            <w:tcBorders>
              <w:top w:val="single" w:sz="4" w:space="0" w:color="auto"/>
              <w:left w:val="single" w:sz="4" w:space="0" w:color="auto"/>
              <w:bottom w:val="single" w:sz="4" w:space="0" w:color="auto"/>
              <w:right w:val="single" w:sz="4" w:space="0" w:color="auto"/>
            </w:tcBorders>
            <w:hideMark/>
          </w:tcPr>
          <w:p w14:paraId="0A8682CB" w14:textId="77777777" w:rsidR="002908CD" w:rsidRDefault="002908CD">
            <w:pPr>
              <w:rPr>
                <w:lang w:val="fr-FR" w:eastAsia="fr-FR"/>
              </w:rPr>
            </w:pPr>
            <w:r>
              <w:rPr>
                <w:lang w:val="fr-FR" w:eastAsia="fr-FR"/>
              </w:rPr>
              <w:t xml:space="preserve">2018/04/01 </w:t>
            </w:r>
            <w:proofErr w:type="gramStart"/>
            <w:r>
              <w:rPr>
                <w:lang w:val="fr-FR" w:eastAsia="fr-FR"/>
              </w:rPr>
              <w:t>19:</w:t>
            </w:r>
            <w:proofErr w:type="gramEnd"/>
            <w:r>
              <w:rPr>
                <w:lang w:val="fr-FR" w:eastAsia="fr-FR"/>
              </w:rPr>
              <w:t>04</w:t>
            </w:r>
          </w:p>
          <w:p w14:paraId="6554601D" w14:textId="77777777" w:rsidR="002908CD" w:rsidRDefault="002908CD">
            <w:pPr>
              <w:rPr>
                <w:i/>
                <w:lang w:eastAsia="en-US"/>
              </w:rPr>
            </w:pPr>
            <w:r>
              <w:rPr>
                <w:i/>
                <w:lang w:val="fr-FR" w:eastAsia="fr-FR"/>
              </w:rPr>
              <w:t>[2018/04/01 09:22, 2018/04/02 09:56]</w:t>
            </w:r>
          </w:p>
        </w:tc>
      </w:tr>
      <w:tr w:rsidR="002908CD" w14:paraId="2EBFBFEE" w14:textId="77777777" w:rsidTr="002908CD">
        <w:trPr>
          <w:trHeight w:val="567"/>
        </w:trPr>
        <w:tc>
          <w:tcPr>
            <w:tcW w:w="1327" w:type="dxa"/>
            <w:tcBorders>
              <w:top w:val="single" w:sz="4" w:space="0" w:color="auto"/>
              <w:left w:val="single" w:sz="4" w:space="0" w:color="auto"/>
              <w:bottom w:val="single" w:sz="4" w:space="0" w:color="auto"/>
              <w:right w:val="single" w:sz="4" w:space="0" w:color="auto"/>
            </w:tcBorders>
            <w:hideMark/>
          </w:tcPr>
          <w:p w14:paraId="7AC2BD91" w14:textId="77777777" w:rsidR="002908CD" w:rsidRDefault="002908CD">
            <w:pPr>
              <w:rPr>
                <w:lang w:val="fr-FR" w:eastAsia="fr-FR"/>
              </w:rPr>
            </w:pPr>
            <w:r>
              <w:rPr>
                <w:lang w:val="fr-FR" w:eastAsia="fr-FR"/>
              </w:rPr>
              <w:lastRenderedPageBreak/>
              <w:t>2018/03/31 08h26</w:t>
            </w:r>
          </w:p>
        </w:tc>
        <w:tc>
          <w:tcPr>
            <w:tcW w:w="3434" w:type="dxa"/>
            <w:tcBorders>
              <w:top w:val="single" w:sz="4" w:space="0" w:color="auto"/>
              <w:left w:val="single" w:sz="4" w:space="0" w:color="auto"/>
              <w:bottom w:val="single" w:sz="4" w:space="0" w:color="auto"/>
              <w:right w:val="single" w:sz="4" w:space="0" w:color="auto"/>
            </w:tcBorders>
            <w:hideMark/>
          </w:tcPr>
          <w:p w14:paraId="1BEF5472" w14:textId="77777777" w:rsidR="002908CD" w:rsidRDefault="002908CD">
            <w:pPr>
              <w:rPr>
                <w:lang w:val="fr-FR" w:eastAsia="fr-FR"/>
              </w:rPr>
            </w:pPr>
            <w:r>
              <w:rPr>
                <w:lang w:val="fr-FR" w:eastAsia="fr-FR"/>
              </w:rPr>
              <w:t xml:space="preserve">2018/04/02 </w:t>
            </w:r>
            <w:proofErr w:type="gramStart"/>
            <w:r>
              <w:rPr>
                <w:lang w:val="fr-FR" w:eastAsia="fr-FR"/>
              </w:rPr>
              <w:t>00:</w:t>
            </w:r>
            <w:proofErr w:type="gramEnd"/>
            <w:r>
              <w:rPr>
                <w:lang w:val="fr-FR" w:eastAsia="fr-FR"/>
              </w:rPr>
              <w:t>06</w:t>
            </w:r>
          </w:p>
          <w:p w14:paraId="47875B20" w14:textId="77777777" w:rsidR="002908CD" w:rsidRDefault="002908CD">
            <w:pPr>
              <w:rPr>
                <w:i/>
                <w:lang w:val="fr-FR" w:eastAsia="fr-FR"/>
              </w:rPr>
            </w:pPr>
            <w:r>
              <w:rPr>
                <w:i/>
                <w:lang w:val="fr-FR" w:eastAsia="fr-FR"/>
              </w:rPr>
              <w:t>[2018/04/01 17:38, 2018/04/02 10:10]</w:t>
            </w:r>
          </w:p>
        </w:tc>
      </w:tr>
      <w:tr w:rsidR="002908CD" w14:paraId="54F33C61" w14:textId="77777777" w:rsidTr="002908CD">
        <w:trPr>
          <w:trHeight w:val="567"/>
        </w:trPr>
        <w:tc>
          <w:tcPr>
            <w:tcW w:w="1327" w:type="dxa"/>
            <w:tcBorders>
              <w:top w:val="single" w:sz="4" w:space="0" w:color="auto"/>
              <w:left w:val="single" w:sz="4" w:space="0" w:color="auto"/>
              <w:bottom w:val="single" w:sz="4" w:space="0" w:color="auto"/>
              <w:right w:val="single" w:sz="4" w:space="0" w:color="auto"/>
            </w:tcBorders>
            <w:hideMark/>
          </w:tcPr>
          <w:p w14:paraId="0D32D71E" w14:textId="77777777" w:rsidR="002908CD" w:rsidRDefault="002908CD">
            <w:pPr>
              <w:rPr>
                <w:lang w:val="fr-FR" w:eastAsia="fr-FR"/>
              </w:rPr>
            </w:pPr>
            <w:r>
              <w:rPr>
                <w:lang w:val="fr-FR" w:eastAsia="fr-FR"/>
              </w:rPr>
              <w:t>2018/04/01 07h51</w:t>
            </w:r>
          </w:p>
        </w:tc>
        <w:tc>
          <w:tcPr>
            <w:tcW w:w="3434" w:type="dxa"/>
            <w:tcBorders>
              <w:top w:val="single" w:sz="4" w:space="0" w:color="auto"/>
              <w:left w:val="single" w:sz="4" w:space="0" w:color="auto"/>
              <w:bottom w:val="single" w:sz="4" w:space="0" w:color="auto"/>
              <w:right w:val="single" w:sz="4" w:space="0" w:color="auto"/>
            </w:tcBorders>
            <w:hideMark/>
          </w:tcPr>
          <w:p w14:paraId="72736293" w14:textId="77777777" w:rsidR="002908CD" w:rsidRDefault="002908CD">
            <w:pPr>
              <w:rPr>
                <w:lang w:val="fr-FR" w:eastAsia="fr-FR"/>
              </w:rPr>
            </w:pPr>
            <w:r>
              <w:rPr>
                <w:lang w:val="fr-FR" w:eastAsia="fr-FR"/>
              </w:rPr>
              <w:t xml:space="preserve">2018/04/02 </w:t>
            </w:r>
            <w:proofErr w:type="gramStart"/>
            <w:r>
              <w:rPr>
                <w:lang w:val="fr-FR" w:eastAsia="fr-FR"/>
              </w:rPr>
              <w:t>01:</w:t>
            </w:r>
            <w:proofErr w:type="gramEnd"/>
            <w:r>
              <w:rPr>
                <w:lang w:val="fr-FR" w:eastAsia="fr-FR"/>
              </w:rPr>
              <w:t>49</w:t>
            </w:r>
          </w:p>
          <w:p w14:paraId="4F99A8F2" w14:textId="77777777" w:rsidR="002908CD" w:rsidRDefault="002908CD">
            <w:pPr>
              <w:rPr>
                <w:i/>
                <w:lang w:val="fr-FR" w:eastAsia="fr-FR"/>
              </w:rPr>
            </w:pPr>
            <w:r>
              <w:rPr>
                <w:i/>
                <w:lang w:val="fr-FR" w:eastAsia="fr-FR"/>
              </w:rPr>
              <w:t>[2018/04/01 23:00, 2018/04/02 06:08]</w:t>
            </w:r>
          </w:p>
        </w:tc>
      </w:tr>
      <w:tr w:rsidR="002908CD" w14:paraId="5164D9B3" w14:textId="77777777" w:rsidTr="002908CD">
        <w:trPr>
          <w:trHeight w:val="567"/>
        </w:trPr>
        <w:tc>
          <w:tcPr>
            <w:tcW w:w="1327" w:type="dxa"/>
            <w:tcBorders>
              <w:top w:val="single" w:sz="4" w:space="0" w:color="auto"/>
              <w:left w:val="single" w:sz="4" w:space="0" w:color="auto"/>
              <w:bottom w:val="single" w:sz="4" w:space="0" w:color="auto"/>
              <w:right w:val="single" w:sz="4" w:space="0" w:color="auto"/>
            </w:tcBorders>
            <w:hideMark/>
          </w:tcPr>
          <w:p w14:paraId="126047BB" w14:textId="77777777" w:rsidR="002908CD" w:rsidRDefault="002908CD">
            <w:pPr>
              <w:rPr>
                <w:lang w:val="fr-FR" w:eastAsia="fr-FR"/>
              </w:rPr>
            </w:pPr>
            <w:r>
              <w:rPr>
                <w:lang w:val="fr-FR" w:eastAsia="fr-FR"/>
              </w:rPr>
              <w:t>2018/04/01 15h04</w:t>
            </w:r>
          </w:p>
        </w:tc>
        <w:tc>
          <w:tcPr>
            <w:tcW w:w="3434" w:type="dxa"/>
            <w:tcBorders>
              <w:top w:val="single" w:sz="4" w:space="0" w:color="auto"/>
              <w:left w:val="single" w:sz="4" w:space="0" w:color="auto"/>
              <w:bottom w:val="single" w:sz="4" w:space="0" w:color="auto"/>
              <w:right w:val="single" w:sz="4" w:space="0" w:color="auto"/>
            </w:tcBorders>
            <w:hideMark/>
          </w:tcPr>
          <w:p w14:paraId="12AC9964" w14:textId="77777777" w:rsidR="002908CD" w:rsidRDefault="002908CD">
            <w:pPr>
              <w:rPr>
                <w:lang w:val="fr-FR" w:eastAsia="fr-FR"/>
              </w:rPr>
            </w:pPr>
            <w:r>
              <w:rPr>
                <w:lang w:val="fr-FR" w:eastAsia="fr-FR"/>
              </w:rPr>
              <w:t xml:space="preserve">2018/04/02 </w:t>
            </w:r>
            <w:proofErr w:type="gramStart"/>
            <w:r>
              <w:rPr>
                <w:lang w:val="fr-FR" w:eastAsia="fr-FR"/>
              </w:rPr>
              <w:t>01:</w:t>
            </w:r>
            <w:proofErr w:type="gramEnd"/>
            <w:r>
              <w:rPr>
                <w:lang w:val="fr-FR" w:eastAsia="fr-FR"/>
              </w:rPr>
              <w:t>24</w:t>
            </w:r>
          </w:p>
          <w:p w14:paraId="02855D9C" w14:textId="77777777" w:rsidR="002908CD" w:rsidRDefault="002908CD" w:rsidP="002908CD">
            <w:pPr>
              <w:keepNext/>
              <w:rPr>
                <w:i/>
                <w:lang w:val="fr-FR" w:eastAsia="fr-FR"/>
              </w:rPr>
            </w:pPr>
            <w:r>
              <w:rPr>
                <w:i/>
                <w:lang w:val="fr-FR" w:eastAsia="fr-FR"/>
              </w:rPr>
              <w:t>[2018/04/01 23:47, 2018/04/02 03:46]</w:t>
            </w:r>
          </w:p>
        </w:tc>
      </w:tr>
    </w:tbl>
    <w:p w14:paraId="33106B4F" w14:textId="46B9C931" w:rsidR="002908CD" w:rsidRDefault="002908CD" w:rsidP="002908CD">
      <w:pPr>
        <w:pStyle w:val="Lgende"/>
        <w:jc w:val="center"/>
      </w:pPr>
      <w:bookmarkStart w:id="3" w:name="_Ref528579072"/>
      <w:r>
        <w:t xml:space="preserve">Table </w:t>
      </w:r>
      <w:r>
        <w:fldChar w:fldCharType="begin"/>
      </w:r>
      <w:r>
        <w:instrText xml:space="preserve"> SEQ Table \* ARABIC </w:instrText>
      </w:r>
      <w:r>
        <w:fldChar w:fldCharType="separate"/>
      </w:r>
      <w:r w:rsidR="00B276BF">
        <w:rPr>
          <w:noProof/>
        </w:rPr>
        <w:t>2</w:t>
      </w:r>
      <w:r>
        <w:fldChar w:fldCharType="end"/>
      </w:r>
      <w:bookmarkEnd w:id="3"/>
      <w:r>
        <w:t xml:space="preserve"> : </w:t>
      </w:r>
      <w:r w:rsidRPr="000021FE">
        <w:t>Orbit determination date and estimation of impact date</w:t>
      </w:r>
    </w:p>
    <w:p w14:paraId="25F1D747" w14:textId="49DC7D0F" w:rsidR="002908CD" w:rsidRDefault="002908CD" w:rsidP="002908CD">
      <w:pPr>
        <w:jc w:val="both"/>
      </w:pPr>
    </w:p>
    <w:p w14:paraId="29BA8482" w14:textId="0A1818EB" w:rsidR="00F1090D" w:rsidRPr="000450E4" w:rsidRDefault="002908CD" w:rsidP="00F1090D">
      <w:pPr>
        <w:pStyle w:val="Titre1"/>
        <w:tabs>
          <w:tab w:val="clear" w:pos="432"/>
        </w:tabs>
        <w:suppressAutoHyphens/>
        <w:spacing w:after="240"/>
        <w:ind w:left="431" w:right="0" w:hanging="431"/>
        <w:rPr>
          <w:lang w:val="en-US"/>
        </w:rPr>
      </w:pPr>
      <w:r>
        <w:t xml:space="preserve">RISK COMPUTATION </w:t>
      </w:r>
    </w:p>
    <w:p w14:paraId="737A2EC3" w14:textId="441045CA" w:rsidR="00F1090D" w:rsidRPr="000450E4" w:rsidRDefault="002908CD" w:rsidP="00F1090D">
      <w:pPr>
        <w:pStyle w:val="Titre2"/>
        <w:tabs>
          <w:tab w:val="clear" w:pos="576"/>
          <w:tab w:val="left" w:pos="1440"/>
        </w:tabs>
        <w:suppressAutoHyphens/>
        <w:spacing w:before="120"/>
        <w:ind w:left="578" w:right="0" w:hanging="578"/>
        <w:rPr>
          <w:lang w:val="en-US"/>
        </w:rPr>
      </w:pPr>
      <w:r w:rsidRPr="002908CD">
        <w:rPr>
          <w:lang w:val="en-US"/>
        </w:rPr>
        <w:t>Uncontrolled re-entry risk</w:t>
      </w:r>
    </w:p>
    <w:p w14:paraId="1F598363" w14:textId="2BCE708F" w:rsidR="00456D0C" w:rsidRDefault="00456D0C" w:rsidP="00456D0C">
      <w:pPr>
        <w:jc w:val="both"/>
      </w:pPr>
      <w:r>
        <w:t>The Final re-entry mode (RF mode) of Electra presented in section 2.1 is useful only with an initial orbit 2 or 3 days before the estimated re-entry date. Indeed, with an initial orbit earlier than 3 days before impact, this method needs a very long computation time, very large date files and results in a repartition of impact point quasi-uniform on Earth between the latitudes [-</w:t>
      </w:r>
      <w:proofErr w:type="spellStart"/>
      <w:r>
        <w:t>i</w:t>
      </w:r>
      <w:proofErr w:type="spellEnd"/>
      <w:r>
        <w:t>°, +</w:t>
      </w:r>
      <w:proofErr w:type="spellStart"/>
      <w:r>
        <w:t>i</w:t>
      </w:r>
      <w:proofErr w:type="spellEnd"/>
      <w:r>
        <w:t xml:space="preserve">°], </w:t>
      </w:r>
      <w:proofErr w:type="spellStart"/>
      <w:r>
        <w:t>i</w:t>
      </w:r>
      <w:proofErr w:type="spellEnd"/>
      <w:r>
        <w:t>° being the inclination of the orbit. It much more efficient to use the uncontrolled re-entry mode (RA mode) dedicated to this kind of situation.</w:t>
      </w:r>
    </w:p>
    <w:p w14:paraId="7BD210F1" w14:textId="50E61F87" w:rsidR="00456D0C" w:rsidRDefault="00456D0C" w:rsidP="00456D0C">
      <w:pPr>
        <w:jc w:val="both"/>
      </w:pPr>
      <w:r>
        <w:t>To compute the risk, Electra uses population files in GPWv4-UN adjusted format, the fourth version of the Gridd</w:t>
      </w:r>
      <w:r w:rsidR="00073D98">
        <w:t xml:space="preserve">ed Population of the World </w:t>
      </w:r>
      <w:r w:rsidR="00073D98">
        <w:fldChar w:fldCharType="begin"/>
      </w:r>
      <w:r w:rsidR="00073D98">
        <w:instrText xml:space="preserve"> REF _Ref528591160 \n \h </w:instrText>
      </w:r>
      <w:r w:rsidR="00073D98">
        <w:fldChar w:fldCharType="separate"/>
      </w:r>
      <w:r w:rsidR="00B276BF">
        <w:t>[2]</w:t>
      </w:r>
      <w:r w:rsidR="00073D98">
        <w:fldChar w:fldCharType="end"/>
      </w:r>
      <w:r w:rsidR="00073D98">
        <w:fldChar w:fldCharType="begin"/>
      </w:r>
      <w:r w:rsidR="00073D98">
        <w:instrText xml:space="preserve"> REF _Ref528591161 \n \h </w:instrText>
      </w:r>
      <w:r w:rsidR="00073D98">
        <w:fldChar w:fldCharType="separate"/>
      </w:r>
      <w:r w:rsidR="00B276BF">
        <w:t>[3]</w:t>
      </w:r>
      <w:r w:rsidR="00073D98">
        <w:fldChar w:fldCharType="end"/>
      </w:r>
      <w:r>
        <w:t xml:space="preserve"> provided by CIESIN (Columbia University). For Tiangon-1 re-entry, the population grid for 2018, with 1° </w:t>
      </w:r>
      <w:proofErr w:type="gramStart"/>
      <w:r>
        <w:t>resolution</w:t>
      </w:r>
      <w:proofErr w:type="gramEnd"/>
      <w:r>
        <w:t>, was generated using an extrapolation method developed for CNES by the University of Strasbourg (SERTIT laboratory: the Image Processing and Remote sensing service).</w:t>
      </w:r>
    </w:p>
    <w:p w14:paraId="03615EA0" w14:textId="77777777" w:rsidR="00456D0C" w:rsidRDefault="00456D0C" w:rsidP="00456D0C">
      <w:pPr>
        <w:jc w:val="both"/>
      </w:pPr>
      <w:r>
        <w:t xml:space="preserve">Uncontrolled re-entry risk was computed for an inclination of 42.6° estimated in the orbit determination form March 26th and with the list of fragments generated using this orbit.  </w:t>
      </w:r>
    </w:p>
    <w:p w14:paraId="2D9F2631" w14:textId="4B1A7AF4" w:rsidR="00B35EF8" w:rsidRDefault="00456D0C" w:rsidP="00B35EF8">
      <w:pPr>
        <w:jc w:val="both"/>
      </w:pPr>
      <w:r>
        <w:t xml:space="preserve">Electra computes a total casualty area of 129 m2 for a mass of 2.34T of surviving fragments, identical to Debrisk computation as expected. The probability of having at least one victim was 2.51x10-3 with a similar value for the expected value of the number of victims. The repartition of the risk on latitude bands is presented in </w:t>
      </w:r>
      <w:r>
        <w:fldChar w:fldCharType="begin"/>
      </w:r>
      <w:r>
        <w:instrText xml:space="preserve"> REF _Ref528588503 \h </w:instrText>
      </w:r>
      <w:r>
        <w:fldChar w:fldCharType="separate"/>
      </w:r>
      <w:r w:rsidR="00B276BF">
        <w:t xml:space="preserve">Figure </w:t>
      </w:r>
      <w:r w:rsidR="00B276BF">
        <w:rPr>
          <w:noProof/>
        </w:rPr>
        <w:t>3</w:t>
      </w:r>
      <w:r>
        <w:fldChar w:fldCharType="end"/>
      </w:r>
      <w:r>
        <w:t>.</w:t>
      </w:r>
      <w:r w:rsidR="00B35EF8" w:rsidRPr="00B35EF8">
        <w:t xml:space="preserve"> </w:t>
      </w:r>
    </w:p>
    <w:p w14:paraId="5987345A" w14:textId="490A5D03" w:rsidR="00B35EF8" w:rsidRDefault="00B35EF8" w:rsidP="00B35EF8">
      <w:pPr>
        <w:jc w:val="both"/>
        <w:rPr>
          <w:lang w:eastAsia="en-US"/>
        </w:rPr>
      </w:pPr>
      <w:r>
        <w:t>Although Tiangon-1 re-entry was not concerned by the French regulation, one can note that the estimated probability is significantly over the 1x10</w:t>
      </w:r>
      <w:r>
        <w:rPr>
          <w:vertAlign w:val="superscript"/>
        </w:rPr>
        <w:t>-4</w:t>
      </w:r>
      <w:r>
        <w:t xml:space="preserve"> limit of the French law and international recommendations. This substantial risk might explain partly the large interest of all spatial community and general public for this special re-entry.</w:t>
      </w:r>
    </w:p>
    <w:p w14:paraId="7780CAD1" w14:textId="77777777" w:rsidR="00456D0C" w:rsidRDefault="00456D0C" w:rsidP="00456D0C">
      <w:pPr>
        <w:keepNext/>
        <w:jc w:val="both"/>
      </w:pPr>
      <w:r>
        <w:rPr>
          <w:noProof/>
          <w:lang w:val="fr-FR" w:eastAsia="fr-FR"/>
        </w:rPr>
        <w:drawing>
          <wp:inline distT="0" distB="0" distL="0" distR="0" wp14:anchorId="12817652" wp14:editId="44F1E28D">
            <wp:extent cx="2872740" cy="1775460"/>
            <wp:effectExtent l="0" t="0" r="381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2740" cy="1775460"/>
                    </a:xfrm>
                    <a:prstGeom prst="rect">
                      <a:avLst/>
                    </a:prstGeom>
                    <a:noFill/>
                    <a:ln>
                      <a:noFill/>
                    </a:ln>
                  </pic:spPr>
                </pic:pic>
              </a:graphicData>
            </a:graphic>
          </wp:inline>
        </w:drawing>
      </w:r>
    </w:p>
    <w:p w14:paraId="7908F5A9" w14:textId="0B4E4309" w:rsidR="00456D0C" w:rsidRDefault="00456D0C" w:rsidP="00456D0C">
      <w:pPr>
        <w:pStyle w:val="Lgende"/>
        <w:jc w:val="center"/>
      </w:pPr>
      <w:bookmarkStart w:id="4" w:name="_Ref528588503"/>
      <w:r>
        <w:t xml:space="preserve">Figure </w:t>
      </w:r>
      <w:r>
        <w:fldChar w:fldCharType="begin"/>
      </w:r>
      <w:r>
        <w:instrText xml:space="preserve"> SEQ Figure \* ARABIC </w:instrText>
      </w:r>
      <w:r>
        <w:fldChar w:fldCharType="separate"/>
      </w:r>
      <w:r w:rsidR="00B276BF">
        <w:rPr>
          <w:noProof/>
        </w:rPr>
        <w:t>3</w:t>
      </w:r>
      <w:r>
        <w:fldChar w:fldCharType="end"/>
      </w:r>
      <w:bookmarkEnd w:id="4"/>
      <w:r>
        <w:t xml:space="preserve">: </w:t>
      </w:r>
      <w:r w:rsidRPr="000B79B1">
        <w:t>Risk by latitude band for natural re-entry</w:t>
      </w:r>
    </w:p>
    <w:p w14:paraId="16AA8D16" w14:textId="77777777" w:rsidR="00456D0C" w:rsidRDefault="00456D0C" w:rsidP="00456D0C">
      <w:pPr>
        <w:jc w:val="both"/>
      </w:pPr>
    </w:p>
    <w:p w14:paraId="3F496E15" w14:textId="06E0DDC7" w:rsidR="00F1389C" w:rsidRPr="00B35EF8" w:rsidRDefault="00456D0C" w:rsidP="00456D0C">
      <w:pPr>
        <w:pStyle w:val="Titre2"/>
        <w:rPr>
          <w:lang w:val="en-US"/>
        </w:rPr>
      </w:pPr>
      <w:r w:rsidRPr="00B35EF8">
        <w:rPr>
          <w:lang w:val="en-US"/>
        </w:rPr>
        <w:t>Risk with the final re-entry mode</w:t>
      </w:r>
    </w:p>
    <w:p w14:paraId="46A148D2" w14:textId="77777777" w:rsidR="00456D0C" w:rsidRDefault="00456D0C" w:rsidP="00456D0C">
      <w:pPr>
        <w:jc w:val="both"/>
      </w:pPr>
      <w:r>
        <w:t>In the weeks before re-entry, we used the orbit resulting from TLE data to set the most efficient configuration of Electra tools. Indeed, the computation of re-entry points using Electra dedicated tool can be very long, up to several tens of hours, while the risk computation is faster. A full day of computation is not compatible with the operational monitoring of a real re-entry.  Thus, we looked for the best configuration with a reasonable computation time with sufficient accuracy for the risk estimate.</w:t>
      </w:r>
    </w:p>
    <w:p w14:paraId="4DD62D83" w14:textId="77777777" w:rsidR="00456D0C" w:rsidRDefault="00456D0C" w:rsidP="00456D0C">
      <w:pPr>
        <w:jc w:val="both"/>
      </w:pPr>
      <w:r>
        <w:t>With default configuration, possible re-entry points at 85 km are computed for a dispersion of +/- 20% of the ballistic coefficient. Re-entry points are computed to be evenly distributed every 100 km with an acceptable error of +/- 100m. Then using an interpolation method, 9 additional re-entry points are inserted in each 100km intervals, so that the final set of re-entry points is distributed every 10km. The results file contains 46 511 points and is close of 11 Go leading to difficulty to work with it.</w:t>
      </w:r>
    </w:p>
    <w:p w14:paraId="18D32306" w14:textId="77777777" w:rsidR="00456D0C" w:rsidRDefault="00456D0C" w:rsidP="00456D0C">
      <w:pPr>
        <w:jc w:val="both"/>
      </w:pPr>
      <w:r>
        <w:t>Then, we estimate the risk with Electra RF mode using only computed re-entry points separated by 100km or including the interpolated re-entry points separated by 10 km. The risk computation was done with 1 or 10 Monte-Carlo simulations, including dispersion on fragmentation altitude and atmosphere density. Those tests shown that it was not necessary to perform more than 1 simulation nor to use re-entry points separated by 10km. Indeed, the number of re-entry points was large enough to reach probability convergence.</w:t>
      </w:r>
    </w:p>
    <w:p w14:paraId="6E8CB8A9" w14:textId="77777777" w:rsidR="00456D0C" w:rsidRDefault="00456D0C" w:rsidP="00456D0C">
      <w:pPr>
        <w:jc w:val="both"/>
      </w:pPr>
      <w:r>
        <w:t>To optimize the computation of re-entry points of Electra, we performed various test to increase the distance between the computed re-entry points and relax the required precision on those points. The interpolation method was then very fast to add extra points in the intervals. With the various sets of re-</w:t>
      </w:r>
      <w:r>
        <w:lastRenderedPageBreak/>
        <w:t>entry points, we compute the risk with Electra RF mode and we compare the total risk and the risk for each country.</w:t>
      </w:r>
    </w:p>
    <w:p w14:paraId="1C77CF37" w14:textId="77777777" w:rsidR="00456D0C" w:rsidRDefault="00456D0C" w:rsidP="00456D0C">
      <w:pPr>
        <w:jc w:val="both"/>
      </w:pPr>
      <w:r>
        <w:t>The reference case was composed of re-entry points separated by 100km, with 100m precision, no interpolated point and 10 Monte-Carlo simulation for the risk computation. We relaxed the distance of computed re-entry point from 100 km to 1000 km including 200km and 500 km cases. The required precision was relaxed from 100m to 1 000m including à 500m step. Tests were performed with 1 2 or 10 Monte-Carlo simulations. Interpolation was used to compute extra re-entry points so that the distance between re-entry points in the complete set was always 100km.</w:t>
      </w:r>
    </w:p>
    <w:p w14:paraId="50D99AD5" w14:textId="77777777" w:rsidR="00456D0C" w:rsidRDefault="00456D0C" w:rsidP="00456D0C">
      <w:pPr>
        <w:jc w:val="both"/>
      </w:pPr>
      <w:r>
        <w:t>From those tests, the appropriate configuration to compute the re-entry points was:</w:t>
      </w:r>
    </w:p>
    <w:p w14:paraId="4715C455" w14:textId="2D3C00B9" w:rsidR="00456D0C" w:rsidRDefault="00456D0C" w:rsidP="00456D0C">
      <w:pPr>
        <w:pStyle w:val="Paragraphedeliste"/>
        <w:numPr>
          <w:ilvl w:val="0"/>
          <w:numId w:val="13"/>
        </w:numPr>
        <w:autoSpaceDE w:val="0"/>
        <w:autoSpaceDN w:val="0"/>
        <w:adjustRightInd w:val="0"/>
        <w:jc w:val="both"/>
      </w:pPr>
      <w:r>
        <w:t xml:space="preserve">1000 km between computed re-entry points </w:t>
      </w:r>
    </w:p>
    <w:p w14:paraId="2919BA63" w14:textId="26C64135" w:rsidR="00456D0C" w:rsidRDefault="00456D0C" w:rsidP="00456D0C">
      <w:pPr>
        <w:pStyle w:val="Paragraphedeliste"/>
        <w:numPr>
          <w:ilvl w:val="0"/>
          <w:numId w:val="13"/>
        </w:numPr>
        <w:autoSpaceDE w:val="0"/>
        <w:autoSpaceDN w:val="0"/>
        <w:adjustRightInd w:val="0"/>
        <w:jc w:val="both"/>
      </w:pPr>
      <w:r>
        <w:t>1km precision</w:t>
      </w:r>
    </w:p>
    <w:p w14:paraId="5B1022B5" w14:textId="1EC04C72" w:rsidR="00456D0C" w:rsidRDefault="00456D0C" w:rsidP="00456D0C">
      <w:pPr>
        <w:pStyle w:val="Paragraphedeliste"/>
        <w:numPr>
          <w:ilvl w:val="0"/>
          <w:numId w:val="13"/>
        </w:numPr>
        <w:autoSpaceDE w:val="0"/>
        <w:autoSpaceDN w:val="0"/>
        <w:adjustRightInd w:val="0"/>
        <w:jc w:val="both"/>
      </w:pPr>
      <w:r>
        <w:t>Interpolation to compute extra re-entry point every 100 km.</w:t>
      </w:r>
    </w:p>
    <w:p w14:paraId="30B9A4FE" w14:textId="77777777" w:rsidR="00456D0C" w:rsidRDefault="00456D0C" w:rsidP="00456D0C">
      <w:pPr>
        <w:jc w:val="both"/>
      </w:pPr>
      <w:r>
        <w:t xml:space="preserve">With those parameters, there was only 1.3% difference on the total risk compared to the reference risk but the computation time was divided by a factor of 7 or 15 depending on the initial conditions (orbit </w:t>
      </w:r>
      <w:proofErr w:type="spellStart"/>
      <w:r>
        <w:t>Timpact</w:t>
      </w:r>
      <w:proofErr w:type="spellEnd"/>
      <w:r>
        <w:t xml:space="preserve"> -24h or </w:t>
      </w:r>
      <w:proofErr w:type="spellStart"/>
      <w:r>
        <w:t>Timpact</w:t>
      </w:r>
      <w:proofErr w:type="spellEnd"/>
      <w:r>
        <w:t xml:space="preserve"> – 12h)</w:t>
      </w:r>
    </w:p>
    <w:p w14:paraId="49AB627F" w14:textId="45F9B28B" w:rsidR="00F1389C" w:rsidRDefault="00456D0C" w:rsidP="00456D0C">
      <w:pPr>
        <w:jc w:val="both"/>
      </w:pPr>
      <w:r>
        <w:t>The other parameters used in Electra for the computation of re-entry points and the risk are: GRIM4 8x8 Earth potential model, MSISI2000 for atmospheric model, only one draw for dispersed parameters, dispersion of ballistic coefficient of each fragments, no dispersion of fragmentation altitude no atmospheric density.</w:t>
      </w:r>
    </w:p>
    <w:p w14:paraId="17435544" w14:textId="1DE9E087" w:rsidR="00456D0C" w:rsidRDefault="00456D0C" w:rsidP="00456D0C">
      <w:pPr>
        <w:pStyle w:val="Titre2"/>
      </w:pPr>
      <w:r>
        <w:t xml:space="preserve">Monitoring of </w:t>
      </w:r>
      <w:proofErr w:type="spellStart"/>
      <w:r>
        <w:t>actual</w:t>
      </w:r>
      <w:proofErr w:type="spellEnd"/>
      <w:r>
        <w:t xml:space="preserve"> </w:t>
      </w:r>
      <w:proofErr w:type="spellStart"/>
      <w:r>
        <w:t>re</w:t>
      </w:r>
      <w:proofErr w:type="spellEnd"/>
      <w:r>
        <w:t>-entry</w:t>
      </w:r>
    </w:p>
    <w:p w14:paraId="5198D8C2" w14:textId="77777777" w:rsidR="00456D0C" w:rsidRDefault="00456D0C" w:rsidP="00456D0C">
      <w:pPr>
        <w:rPr>
          <w:lang w:eastAsia="en-US"/>
        </w:rPr>
      </w:pPr>
      <w:r>
        <w:t>The first risk estimates with Electra RF mode was done with the orbit determination of March 30</w:t>
      </w:r>
      <w:r>
        <w:rPr>
          <w:vertAlign w:val="superscript"/>
        </w:rPr>
        <w:t>th</w:t>
      </w:r>
      <w:r>
        <w:t>. Before that date, the uncertainty on re-entry points was too large for the RF mode to be used.</w:t>
      </w:r>
    </w:p>
    <w:p w14:paraId="43D7FD75" w14:textId="4FDCCDED" w:rsidR="00456D0C" w:rsidRDefault="00456D0C" w:rsidP="00456D0C">
      <w:r>
        <w:t>For each orbit determination performed by OCC from March 30</w:t>
      </w:r>
      <w:r>
        <w:rPr>
          <w:vertAlign w:val="superscript"/>
        </w:rPr>
        <w:t>th</w:t>
      </w:r>
      <w:r>
        <w:t xml:space="preserve">, </w:t>
      </w:r>
      <w:r>
        <w:fldChar w:fldCharType="begin"/>
      </w:r>
      <w:r>
        <w:instrText xml:space="preserve"> REF _Ref528588714 \h </w:instrText>
      </w:r>
      <w:r>
        <w:fldChar w:fldCharType="separate"/>
      </w:r>
      <w:r w:rsidR="00B276BF">
        <w:t xml:space="preserve">Table </w:t>
      </w:r>
      <w:r w:rsidR="00B276BF">
        <w:rPr>
          <w:noProof/>
        </w:rPr>
        <w:t>3</w:t>
      </w:r>
      <w:r>
        <w:fldChar w:fldCharType="end"/>
      </w:r>
      <w:r>
        <w:t xml:space="preserve"> and </w:t>
      </w:r>
      <w:r>
        <w:fldChar w:fldCharType="begin"/>
      </w:r>
      <w:r>
        <w:instrText xml:space="preserve"> REF _Ref528588846 \h </w:instrText>
      </w:r>
      <w:r>
        <w:fldChar w:fldCharType="separate"/>
      </w:r>
      <w:r w:rsidR="00B276BF">
        <w:t xml:space="preserve">Figure </w:t>
      </w:r>
      <w:r w:rsidR="00B276BF">
        <w:rPr>
          <w:noProof/>
        </w:rPr>
        <w:t>4</w:t>
      </w:r>
      <w:r>
        <w:fldChar w:fldCharType="end"/>
      </w:r>
      <w:r>
        <w:t xml:space="preserve">, to </w:t>
      </w:r>
      <w:r>
        <w:fldChar w:fldCharType="begin"/>
      </w:r>
      <w:r>
        <w:instrText xml:space="preserve"> REF _Ref528588853 \h </w:instrText>
      </w:r>
      <w:r>
        <w:fldChar w:fldCharType="separate"/>
      </w:r>
      <w:r w:rsidR="00B276BF">
        <w:t xml:space="preserve">Figure </w:t>
      </w:r>
      <w:r w:rsidR="00B276BF">
        <w:rPr>
          <w:noProof/>
        </w:rPr>
        <w:t>7</w:t>
      </w:r>
      <w:r>
        <w:fldChar w:fldCharType="end"/>
      </w:r>
      <w:r>
        <w:t xml:space="preserve"> present Electra results: </w:t>
      </w:r>
    </w:p>
    <w:p w14:paraId="502357A1" w14:textId="77777777" w:rsidR="00456D0C" w:rsidRDefault="00456D0C" w:rsidP="00456D0C">
      <w:pPr>
        <w:numPr>
          <w:ilvl w:val="0"/>
          <w:numId w:val="17"/>
        </w:numPr>
        <w:suppressAutoHyphens w:val="0"/>
        <w:spacing w:before="0" w:after="0"/>
        <w:jc w:val="both"/>
      </w:pPr>
      <w:r>
        <w:t xml:space="preserve">probability of having at least one victim Pc, </w:t>
      </w:r>
    </w:p>
    <w:p w14:paraId="76E5AB6E" w14:textId="77777777" w:rsidR="00456D0C" w:rsidRDefault="00456D0C" w:rsidP="00456D0C">
      <w:pPr>
        <w:numPr>
          <w:ilvl w:val="0"/>
          <w:numId w:val="17"/>
        </w:numPr>
        <w:suppressAutoHyphens w:val="0"/>
        <w:spacing w:before="0" w:after="0"/>
        <w:jc w:val="both"/>
      </w:pPr>
      <w:r>
        <w:t xml:space="preserve">expected value of victim </w:t>
      </w:r>
      <w:proofErr w:type="spellStart"/>
      <w:r>
        <w:t>Ec</w:t>
      </w:r>
      <w:proofErr w:type="spellEnd"/>
      <w:r>
        <w:t xml:space="preserve">, </w:t>
      </w:r>
    </w:p>
    <w:p w14:paraId="63EE8309" w14:textId="77777777" w:rsidR="00456D0C" w:rsidRDefault="00456D0C" w:rsidP="00456D0C">
      <w:pPr>
        <w:numPr>
          <w:ilvl w:val="0"/>
          <w:numId w:val="17"/>
        </w:numPr>
        <w:suppressAutoHyphens w:val="0"/>
        <w:spacing w:before="0" w:after="0"/>
        <w:jc w:val="both"/>
      </w:pPr>
      <w:r>
        <w:t xml:space="preserve">impacts map. </w:t>
      </w:r>
    </w:p>
    <w:p w14:paraId="5025D5A6" w14:textId="77777777" w:rsidR="00456D0C" w:rsidRDefault="00456D0C" w:rsidP="00456D0C"/>
    <w:p w14:paraId="3ECF70E1" w14:textId="52F915DC" w:rsidR="00456D0C" w:rsidRDefault="00456D0C" w:rsidP="00456D0C">
      <w:pPr>
        <w:jc w:val="both"/>
      </w:pPr>
      <w:r>
        <w:t xml:space="preserve">Two estimates of the impact date are also presented in table 3: the first date is computed by OCC with operational tools while the second date is computed with PSIMU, CNES tool for trajectory propagation based on </w:t>
      </w:r>
      <w:proofErr w:type="spellStart"/>
      <w:r>
        <w:t>Patrius</w:t>
      </w:r>
      <w:proofErr w:type="spellEnd"/>
      <w:r>
        <w:t xml:space="preserve"> library </w:t>
      </w:r>
      <w:r w:rsidR="00073D98">
        <w:rPr>
          <w:highlight w:val="yellow"/>
        </w:rPr>
        <w:fldChar w:fldCharType="begin"/>
      </w:r>
      <w:r w:rsidR="00073D98">
        <w:instrText xml:space="preserve"> REF _Ref528591020 \n \h </w:instrText>
      </w:r>
      <w:r w:rsidR="00073D98">
        <w:rPr>
          <w:highlight w:val="yellow"/>
        </w:rPr>
      </w:r>
      <w:r w:rsidR="00073D98">
        <w:rPr>
          <w:highlight w:val="yellow"/>
        </w:rPr>
        <w:fldChar w:fldCharType="separate"/>
      </w:r>
      <w:r w:rsidR="00B276BF">
        <w:t>[1]</w:t>
      </w:r>
      <w:r w:rsidR="00073D98">
        <w:rPr>
          <w:highlight w:val="yellow"/>
        </w:rPr>
        <w:fldChar w:fldCharType="end"/>
      </w:r>
      <w:r w:rsidR="00073D98">
        <w:t>.</w:t>
      </w:r>
      <w:r>
        <w:t xml:space="preserve"> The differences between those two estimates (about 1h) can be explained by the use of different atmospheric models in the tools.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128"/>
        <w:gridCol w:w="1055"/>
        <w:gridCol w:w="1242"/>
      </w:tblGrid>
      <w:tr w:rsidR="00456D0C" w:rsidRPr="00073D98" w14:paraId="63A792BD" w14:textId="77777777" w:rsidTr="00B35EF8">
        <w:trPr>
          <w:trHeight w:val="699"/>
        </w:trPr>
        <w:tc>
          <w:tcPr>
            <w:tcW w:w="132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179BF9A" w14:textId="77777777" w:rsidR="00456D0C" w:rsidRDefault="00456D0C" w:rsidP="00B35EF8">
            <w:pPr>
              <w:spacing w:before="0" w:after="0"/>
              <w:jc w:val="center"/>
              <w:rPr>
                <w:lang w:eastAsia="en-US"/>
              </w:rPr>
            </w:pPr>
            <w:r>
              <w:rPr>
                <w:color w:val="000000"/>
              </w:rPr>
              <w:t>Orbit determination date</w:t>
            </w:r>
          </w:p>
        </w:tc>
        <w:tc>
          <w:tcPr>
            <w:tcW w:w="3425"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14:paraId="06B833CA" w14:textId="77777777" w:rsidR="00456D0C" w:rsidRPr="00073D98" w:rsidRDefault="00456D0C" w:rsidP="00B35EF8">
            <w:pPr>
              <w:spacing w:before="0" w:after="0"/>
              <w:jc w:val="center"/>
              <w:rPr>
                <w:lang w:eastAsia="fr-FR"/>
              </w:rPr>
            </w:pPr>
            <w:r>
              <w:rPr>
                <w:color w:val="000000"/>
              </w:rPr>
              <w:t>Impact date estimate</w:t>
            </w:r>
          </w:p>
        </w:tc>
      </w:tr>
      <w:tr w:rsidR="00456D0C" w:rsidRPr="00073D98" w14:paraId="15C98DFF" w14:textId="77777777" w:rsidTr="00456D0C">
        <w:trPr>
          <w:trHeight w:val="567"/>
        </w:trPr>
        <w:tc>
          <w:tcPr>
            <w:tcW w:w="1327" w:type="dxa"/>
            <w:tcBorders>
              <w:top w:val="single" w:sz="4" w:space="0" w:color="auto"/>
              <w:left w:val="single" w:sz="4" w:space="0" w:color="auto"/>
              <w:bottom w:val="single" w:sz="4" w:space="0" w:color="auto"/>
              <w:right w:val="single" w:sz="4" w:space="0" w:color="auto"/>
            </w:tcBorders>
            <w:vAlign w:val="center"/>
            <w:hideMark/>
          </w:tcPr>
          <w:p w14:paraId="2EB54C01" w14:textId="77777777" w:rsidR="00456D0C" w:rsidRPr="00073D98" w:rsidRDefault="00456D0C">
            <w:pPr>
              <w:jc w:val="center"/>
              <w:rPr>
                <w:lang w:eastAsia="fr-FR"/>
              </w:rPr>
            </w:pPr>
            <w:r w:rsidRPr="00073D98">
              <w:rPr>
                <w:lang w:eastAsia="fr-FR"/>
              </w:rPr>
              <w:t>2018/03/30 9h00</w:t>
            </w:r>
          </w:p>
        </w:tc>
        <w:tc>
          <w:tcPr>
            <w:tcW w:w="3425" w:type="dxa"/>
            <w:gridSpan w:val="3"/>
            <w:tcBorders>
              <w:top w:val="single" w:sz="4" w:space="0" w:color="auto"/>
              <w:left w:val="single" w:sz="4" w:space="0" w:color="auto"/>
              <w:bottom w:val="single" w:sz="4" w:space="0" w:color="auto"/>
              <w:right w:val="single" w:sz="4" w:space="0" w:color="auto"/>
            </w:tcBorders>
            <w:vAlign w:val="center"/>
            <w:hideMark/>
          </w:tcPr>
          <w:p w14:paraId="7C31990D" w14:textId="77777777" w:rsidR="00456D0C" w:rsidRPr="00073D98" w:rsidRDefault="00456D0C">
            <w:pPr>
              <w:jc w:val="center"/>
              <w:rPr>
                <w:lang w:eastAsia="fr-FR"/>
              </w:rPr>
            </w:pPr>
            <w:r w:rsidRPr="00073D98">
              <w:rPr>
                <w:lang w:eastAsia="fr-FR"/>
              </w:rPr>
              <w:t>OCC : 2018/04/01 19:04</w:t>
            </w:r>
          </w:p>
        </w:tc>
      </w:tr>
      <w:tr w:rsidR="00456D0C" w:rsidRPr="00073D98" w14:paraId="5DBED69E" w14:textId="77777777" w:rsidTr="00456D0C">
        <w:trPr>
          <w:trHeight w:val="567"/>
        </w:trPr>
        <w:tc>
          <w:tcPr>
            <w:tcW w:w="1327" w:type="dxa"/>
            <w:tcBorders>
              <w:top w:val="single" w:sz="4" w:space="0" w:color="auto"/>
              <w:left w:val="single" w:sz="4" w:space="0" w:color="auto"/>
              <w:bottom w:val="single" w:sz="4" w:space="0" w:color="auto"/>
              <w:right w:val="single" w:sz="4" w:space="0" w:color="auto"/>
            </w:tcBorders>
            <w:vAlign w:val="center"/>
          </w:tcPr>
          <w:p w14:paraId="7059364B" w14:textId="77777777" w:rsidR="00456D0C" w:rsidRPr="00073D98" w:rsidRDefault="00456D0C">
            <w:pPr>
              <w:jc w:val="center"/>
              <w:rPr>
                <w:lang w:eastAsia="fr-FR"/>
              </w:rPr>
            </w:pPr>
          </w:p>
        </w:tc>
        <w:tc>
          <w:tcPr>
            <w:tcW w:w="112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984C01A" w14:textId="77777777" w:rsidR="00456D0C" w:rsidRPr="00073D98" w:rsidRDefault="00456D0C" w:rsidP="00B35EF8">
            <w:pPr>
              <w:spacing w:before="0" w:after="0"/>
              <w:jc w:val="center"/>
              <w:rPr>
                <w:lang w:eastAsia="fr-FR"/>
              </w:rPr>
            </w:pPr>
            <w:r w:rsidRPr="00073D98">
              <w:rPr>
                <w:lang w:eastAsia="fr-FR"/>
              </w:rPr>
              <w:t xml:space="preserve">Ballistic </w:t>
            </w:r>
            <w:proofErr w:type="spellStart"/>
            <w:r w:rsidRPr="00073D98">
              <w:rPr>
                <w:lang w:eastAsia="fr-FR"/>
              </w:rPr>
              <w:t>coef</w:t>
            </w:r>
            <w:proofErr w:type="spellEnd"/>
            <w:r w:rsidRPr="00073D98">
              <w:rPr>
                <w:lang w:eastAsia="fr-FR"/>
              </w:rPr>
              <w:t xml:space="preserve"> (kg/m2)</w:t>
            </w:r>
          </w:p>
        </w:tc>
        <w:tc>
          <w:tcPr>
            <w:tcW w:w="1055"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4CA6BCD" w14:textId="77777777" w:rsidR="00456D0C" w:rsidRDefault="00456D0C" w:rsidP="00B35EF8">
            <w:pPr>
              <w:spacing w:before="0" w:after="0"/>
              <w:jc w:val="center"/>
              <w:rPr>
                <w:color w:val="000000"/>
                <w:lang w:eastAsia="en-US"/>
              </w:rPr>
            </w:pPr>
            <w:r>
              <w:rPr>
                <w:color w:val="000000"/>
              </w:rPr>
              <w:t>Pc</w:t>
            </w:r>
          </w:p>
        </w:tc>
        <w:tc>
          <w:tcPr>
            <w:tcW w:w="1242"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49686D1" w14:textId="77777777" w:rsidR="00456D0C" w:rsidRDefault="00456D0C" w:rsidP="00B35EF8">
            <w:pPr>
              <w:spacing w:before="0" w:after="0"/>
              <w:jc w:val="center"/>
              <w:rPr>
                <w:color w:val="000000"/>
              </w:rPr>
            </w:pPr>
            <w:proofErr w:type="spellStart"/>
            <w:r>
              <w:rPr>
                <w:color w:val="000000"/>
              </w:rPr>
              <w:t>Ec</w:t>
            </w:r>
            <w:proofErr w:type="spellEnd"/>
          </w:p>
        </w:tc>
      </w:tr>
      <w:tr w:rsidR="00456D0C" w14:paraId="23AEEF48" w14:textId="77777777" w:rsidTr="00456D0C">
        <w:trPr>
          <w:trHeight w:val="567"/>
        </w:trPr>
        <w:tc>
          <w:tcPr>
            <w:tcW w:w="1327" w:type="dxa"/>
            <w:tcBorders>
              <w:top w:val="single" w:sz="4" w:space="0" w:color="auto"/>
              <w:left w:val="single" w:sz="4" w:space="0" w:color="auto"/>
              <w:bottom w:val="single" w:sz="4" w:space="0" w:color="auto"/>
              <w:right w:val="single" w:sz="4" w:space="0" w:color="auto"/>
            </w:tcBorders>
            <w:vAlign w:val="center"/>
          </w:tcPr>
          <w:p w14:paraId="7D3C4B4E" w14:textId="77777777" w:rsidR="00456D0C" w:rsidRPr="00073D98" w:rsidRDefault="00456D0C">
            <w:pPr>
              <w:jc w:val="center"/>
              <w:rPr>
                <w:lang w:eastAsia="fr-FR"/>
              </w:rPr>
            </w:pPr>
          </w:p>
        </w:tc>
        <w:tc>
          <w:tcPr>
            <w:tcW w:w="1128" w:type="dxa"/>
            <w:tcBorders>
              <w:top w:val="single" w:sz="4" w:space="0" w:color="auto"/>
              <w:left w:val="single" w:sz="4" w:space="0" w:color="auto"/>
              <w:bottom w:val="single" w:sz="4" w:space="0" w:color="auto"/>
              <w:right w:val="single" w:sz="4" w:space="0" w:color="auto"/>
            </w:tcBorders>
            <w:vAlign w:val="center"/>
            <w:hideMark/>
          </w:tcPr>
          <w:p w14:paraId="0D21DC5C" w14:textId="77777777" w:rsidR="00456D0C" w:rsidRDefault="00456D0C">
            <w:pPr>
              <w:jc w:val="center"/>
              <w:rPr>
                <w:lang w:val="fr-FR" w:eastAsia="fr-FR"/>
              </w:rPr>
            </w:pPr>
            <w:r w:rsidRPr="00073D98">
              <w:rPr>
                <w:lang w:eastAsia="fr-FR"/>
              </w:rPr>
              <w:t>149.2</w:t>
            </w:r>
            <w:r>
              <w:rPr>
                <w:lang w:val="fr-FR" w:eastAsia="fr-FR"/>
              </w:rPr>
              <w:t>7</w:t>
            </w:r>
          </w:p>
        </w:tc>
        <w:tc>
          <w:tcPr>
            <w:tcW w:w="1055" w:type="dxa"/>
            <w:tcBorders>
              <w:top w:val="single" w:sz="4" w:space="0" w:color="auto"/>
              <w:left w:val="single" w:sz="4" w:space="0" w:color="auto"/>
              <w:bottom w:val="single" w:sz="4" w:space="0" w:color="auto"/>
              <w:right w:val="single" w:sz="4" w:space="0" w:color="auto"/>
            </w:tcBorders>
            <w:vAlign w:val="center"/>
            <w:hideMark/>
          </w:tcPr>
          <w:p w14:paraId="670F73FC" w14:textId="77777777" w:rsidR="00456D0C" w:rsidRDefault="00456D0C">
            <w:pPr>
              <w:jc w:val="center"/>
              <w:rPr>
                <w:i/>
                <w:lang w:eastAsia="en-US"/>
              </w:rPr>
            </w:pPr>
            <w:r>
              <w:rPr>
                <w:lang w:val="fr-FR" w:eastAsia="fr-FR"/>
              </w:rPr>
              <w:t>2.835e-03</w:t>
            </w:r>
          </w:p>
        </w:tc>
        <w:tc>
          <w:tcPr>
            <w:tcW w:w="1242" w:type="dxa"/>
            <w:tcBorders>
              <w:top w:val="single" w:sz="4" w:space="0" w:color="auto"/>
              <w:left w:val="single" w:sz="4" w:space="0" w:color="auto"/>
              <w:bottom w:val="single" w:sz="4" w:space="0" w:color="auto"/>
              <w:right w:val="single" w:sz="4" w:space="0" w:color="auto"/>
            </w:tcBorders>
            <w:vAlign w:val="center"/>
            <w:hideMark/>
          </w:tcPr>
          <w:p w14:paraId="56E17E16" w14:textId="77777777" w:rsidR="00456D0C" w:rsidRDefault="00456D0C">
            <w:pPr>
              <w:jc w:val="center"/>
              <w:rPr>
                <w:lang w:val="fr-FR" w:eastAsia="fr-FR"/>
              </w:rPr>
            </w:pPr>
            <w:r>
              <w:rPr>
                <w:lang w:val="fr-FR" w:eastAsia="fr-FR"/>
              </w:rPr>
              <w:t>2.904e-03</w:t>
            </w:r>
          </w:p>
        </w:tc>
      </w:tr>
      <w:tr w:rsidR="00456D0C" w14:paraId="251BA817" w14:textId="77777777" w:rsidTr="00456D0C">
        <w:trPr>
          <w:trHeight w:val="567"/>
        </w:trPr>
        <w:tc>
          <w:tcPr>
            <w:tcW w:w="132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91E561B" w14:textId="77777777" w:rsidR="00456D0C" w:rsidRPr="00B35EF8" w:rsidRDefault="00456D0C" w:rsidP="00B35EF8">
            <w:pPr>
              <w:spacing w:before="0" w:after="0"/>
              <w:jc w:val="center"/>
              <w:rPr>
                <w:color w:val="000000"/>
              </w:rPr>
            </w:pPr>
            <w:r>
              <w:rPr>
                <w:color w:val="000000"/>
              </w:rPr>
              <w:t>Orbit determination date</w:t>
            </w:r>
          </w:p>
        </w:tc>
        <w:tc>
          <w:tcPr>
            <w:tcW w:w="3425"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14:paraId="6BD9FF15" w14:textId="77777777" w:rsidR="00456D0C" w:rsidRPr="00B35EF8" w:rsidRDefault="00456D0C" w:rsidP="00B35EF8">
            <w:pPr>
              <w:spacing w:before="0" w:after="0"/>
              <w:jc w:val="center"/>
              <w:rPr>
                <w:color w:val="000000"/>
              </w:rPr>
            </w:pPr>
            <w:r>
              <w:rPr>
                <w:color w:val="000000"/>
              </w:rPr>
              <w:t>Impact date estimate</w:t>
            </w:r>
          </w:p>
        </w:tc>
      </w:tr>
      <w:tr w:rsidR="00456D0C" w14:paraId="4CF9F3BF" w14:textId="77777777" w:rsidTr="00456D0C">
        <w:trPr>
          <w:trHeight w:val="567"/>
        </w:trPr>
        <w:tc>
          <w:tcPr>
            <w:tcW w:w="1327" w:type="dxa"/>
            <w:tcBorders>
              <w:top w:val="single" w:sz="4" w:space="0" w:color="auto"/>
              <w:left w:val="single" w:sz="4" w:space="0" w:color="auto"/>
              <w:bottom w:val="single" w:sz="4" w:space="0" w:color="auto"/>
              <w:right w:val="single" w:sz="4" w:space="0" w:color="auto"/>
            </w:tcBorders>
            <w:vAlign w:val="center"/>
            <w:hideMark/>
          </w:tcPr>
          <w:p w14:paraId="310C3DB8" w14:textId="77777777" w:rsidR="00456D0C" w:rsidRDefault="00456D0C">
            <w:pPr>
              <w:jc w:val="center"/>
              <w:rPr>
                <w:lang w:val="fr-FR" w:eastAsia="fr-FR"/>
              </w:rPr>
            </w:pPr>
            <w:r>
              <w:rPr>
                <w:lang w:val="fr-FR" w:eastAsia="fr-FR"/>
              </w:rPr>
              <w:t>2018/03/31 08h26</w:t>
            </w:r>
          </w:p>
        </w:tc>
        <w:tc>
          <w:tcPr>
            <w:tcW w:w="3425" w:type="dxa"/>
            <w:gridSpan w:val="3"/>
            <w:tcBorders>
              <w:top w:val="single" w:sz="4" w:space="0" w:color="auto"/>
              <w:left w:val="single" w:sz="4" w:space="0" w:color="auto"/>
              <w:bottom w:val="single" w:sz="4" w:space="0" w:color="auto"/>
              <w:right w:val="single" w:sz="4" w:space="0" w:color="auto"/>
            </w:tcBorders>
            <w:vAlign w:val="center"/>
            <w:hideMark/>
          </w:tcPr>
          <w:p w14:paraId="3DA87AA2" w14:textId="77777777" w:rsidR="00456D0C" w:rsidRDefault="00456D0C">
            <w:pPr>
              <w:jc w:val="center"/>
              <w:rPr>
                <w:lang w:val="fr-FR" w:eastAsia="fr-FR"/>
              </w:rPr>
            </w:pPr>
            <w:r>
              <w:rPr>
                <w:lang w:val="fr-FR" w:eastAsia="fr-FR"/>
              </w:rPr>
              <w:t xml:space="preserve">OCC : 2018/04/02 </w:t>
            </w:r>
            <w:proofErr w:type="gramStart"/>
            <w:r>
              <w:rPr>
                <w:lang w:val="fr-FR" w:eastAsia="fr-FR"/>
              </w:rPr>
              <w:t>00:</w:t>
            </w:r>
            <w:proofErr w:type="gramEnd"/>
            <w:r>
              <w:rPr>
                <w:lang w:val="fr-FR" w:eastAsia="fr-FR"/>
              </w:rPr>
              <w:t>06</w:t>
            </w:r>
          </w:p>
          <w:p w14:paraId="03757AF0" w14:textId="77777777" w:rsidR="00456D0C" w:rsidRDefault="00456D0C">
            <w:pPr>
              <w:jc w:val="center"/>
              <w:rPr>
                <w:lang w:val="fr-FR" w:eastAsia="fr-FR"/>
              </w:rPr>
            </w:pPr>
            <w:r>
              <w:rPr>
                <w:lang w:val="fr-FR" w:eastAsia="fr-FR"/>
              </w:rPr>
              <w:t>PSIMU : 2018/04/01 23 :24</w:t>
            </w:r>
          </w:p>
        </w:tc>
      </w:tr>
      <w:tr w:rsidR="00456D0C" w14:paraId="745A9C85" w14:textId="77777777" w:rsidTr="00456D0C">
        <w:trPr>
          <w:trHeight w:val="567"/>
        </w:trPr>
        <w:tc>
          <w:tcPr>
            <w:tcW w:w="1327" w:type="dxa"/>
            <w:tcBorders>
              <w:top w:val="single" w:sz="4" w:space="0" w:color="auto"/>
              <w:left w:val="single" w:sz="4" w:space="0" w:color="auto"/>
              <w:bottom w:val="single" w:sz="4" w:space="0" w:color="auto"/>
              <w:right w:val="single" w:sz="4" w:space="0" w:color="auto"/>
            </w:tcBorders>
            <w:vAlign w:val="center"/>
          </w:tcPr>
          <w:p w14:paraId="2C08C6D2" w14:textId="77777777" w:rsidR="00456D0C" w:rsidRDefault="00456D0C">
            <w:pPr>
              <w:jc w:val="center"/>
              <w:rPr>
                <w:lang w:val="fr-FR" w:eastAsia="fr-FR"/>
              </w:rPr>
            </w:pPr>
          </w:p>
        </w:tc>
        <w:tc>
          <w:tcPr>
            <w:tcW w:w="112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7C0375C" w14:textId="77777777" w:rsidR="00456D0C" w:rsidRPr="00B35EF8" w:rsidRDefault="00456D0C" w:rsidP="00B35EF8">
            <w:pPr>
              <w:spacing w:before="0" w:after="0"/>
              <w:jc w:val="center"/>
              <w:rPr>
                <w:lang w:eastAsia="fr-FR"/>
              </w:rPr>
            </w:pPr>
            <w:r w:rsidRPr="00B35EF8">
              <w:rPr>
                <w:lang w:eastAsia="fr-FR"/>
              </w:rPr>
              <w:t xml:space="preserve">Ballistic </w:t>
            </w:r>
            <w:proofErr w:type="spellStart"/>
            <w:r w:rsidRPr="00B35EF8">
              <w:rPr>
                <w:lang w:eastAsia="fr-FR"/>
              </w:rPr>
              <w:t>coef</w:t>
            </w:r>
            <w:proofErr w:type="spellEnd"/>
            <w:r w:rsidRPr="00B35EF8">
              <w:rPr>
                <w:lang w:eastAsia="fr-FR"/>
              </w:rPr>
              <w:t xml:space="preserve"> (kg/m2)</w:t>
            </w:r>
          </w:p>
        </w:tc>
        <w:tc>
          <w:tcPr>
            <w:tcW w:w="1055"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418B2CA" w14:textId="77777777" w:rsidR="00456D0C" w:rsidRPr="00B35EF8" w:rsidRDefault="00456D0C" w:rsidP="00B35EF8">
            <w:pPr>
              <w:spacing w:before="0" w:after="0"/>
              <w:jc w:val="center"/>
              <w:rPr>
                <w:lang w:eastAsia="fr-FR"/>
              </w:rPr>
            </w:pPr>
            <w:r w:rsidRPr="00B35EF8">
              <w:rPr>
                <w:lang w:eastAsia="fr-FR"/>
              </w:rPr>
              <w:t>Pc</w:t>
            </w:r>
          </w:p>
        </w:tc>
        <w:tc>
          <w:tcPr>
            <w:tcW w:w="1242"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28FDE93" w14:textId="77777777" w:rsidR="00456D0C" w:rsidRPr="00B35EF8" w:rsidRDefault="00456D0C" w:rsidP="00B35EF8">
            <w:pPr>
              <w:spacing w:before="0" w:after="0"/>
              <w:jc w:val="center"/>
              <w:rPr>
                <w:lang w:eastAsia="fr-FR"/>
              </w:rPr>
            </w:pPr>
            <w:proofErr w:type="spellStart"/>
            <w:r w:rsidRPr="00B35EF8">
              <w:rPr>
                <w:lang w:eastAsia="fr-FR"/>
              </w:rPr>
              <w:t>Ec</w:t>
            </w:r>
            <w:proofErr w:type="spellEnd"/>
          </w:p>
        </w:tc>
      </w:tr>
      <w:tr w:rsidR="00456D0C" w14:paraId="12B14AFB" w14:textId="77777777" w:rsidTr="00456D0C">
        <w:trPr>
          <w:trHeight w:val="567"/>
        </w:trPr>
        <w:tc>
          <w:tcPr>
            <w:tcW w:w="1327" w:type="dxa"/>
            <w:tcBorders>
              <w:top w:val="single" w:sz="4" w:space="0" w:color="auto"/>
              <w:left w:val="single" w:sz="4" w:space="0" w:color="auto"/>
              <w:bottom w:val="single" w:sz="4" w:space="0" w:color="auto"/>
              <w:right w:val="single" w:sz="4" w:space="0" w:color="auto"/>
            </w:tcBorders>
            <w:vAlign w:val="center"/>
          </w:tcPr>
          <w:p w14:paraId="53338277" w14:textId="77777777" w:rsidR="00456D0C" w:rsidRDefault="00456D0C">
            <w:pPr>
              <w:jc w:val="center"/>
              <w:rPr>
                <w:lang w:val="fr-FR" w:eastAsia="fr-FR"/>
              </w:rPr>
            </w:pPr>
          </w:p>
        </w:tc>
        <w:tc>
          <w:tcPr>
            <w:tcW w:w="1128" w:type="dxa"/>
            <w:tcBorders>
              <w:top w:val="single" w:sz="4" w:space="0" w:color="auto"/>
              <w:left w:val="single" w:sz="4" w:space="0" w:color="auto"/>
              <w:bottom w:val="single" w:sz="4" w:space="0" w:color="auto"/>
              <w:right w:val="single" w:sz="4" w:space="0" w:color="auto"/>
            </w:tcBorders>
            <w:vAlign w:val="center"/>
            <w:hideMark/>
          </w:tcPr>
          <w:p w14:paraId="7A20FBA6" w14:textId="77777777" w:rsidR="00456D0C" w:rsidRDefault="00456D0C">
            <w:pPr>
              <w:jc w:val="center"/>
              <w:rPr>
                <w:lang w:val="fr-FR" w:eastAsia="fr-FR"/>
              </w:rPr>
            </w:pPr>
            <w:r>
              <w:rPr>
                <w:lang w:val="fr-FR" w:eastAsia="fr-FR"/>
              </w:rPr>
              <w:t>157.75</w:t>
            </w:r>
          </w:p>
        </w:tc>
        <w:tc>
          <w:tcPr>
            <w:tcW w:w="1055" w:type="dxa"/>
            <w:tcBorders>
              <w:top w:val="single" w:sz="4" w:space="0" w:color="auto"/>
              <w:left w:val="single" w:sz="4" w:space="0" w:color="auto"/>
              <w:bottom w:val="single" w:sz="4" w:space="0" w:color="auto"/>
              <w:right w:val="single" w:sz="4" w:space="0" w:color="auto"/>
            </w:tcBorders>
            <w:vAlign w:val="center"/>
            <w:hideMark/>
          </w:tcPr>
          <w:p w14:paraId="5E630923" w14:textId="77777777" w:rsidR="00456D0C" w:rsidRDefault="00456D0C">
            <w:pPr>
              <w:jc w:val="center"/>
              <w:rPr>
                <w:lang w:val="fr-FR" w:eastAsia="fr-FR"/>
              </w:rPr>
            </w:pPr>
            <w:r>
              <w:rPr>
                <w:lang w:val="fr-FR" w:eastAsia="fr-FR"/>
              </w:rPr>
              <w:t>3.643e-03</w:t>
            </w:r>
          </w:p>
        </w:tc>
        <w:tc>
          <w:tcPr>
            <w:tcW w:w="1242" w:type="dxa"/>
            <w:tcBorders>
              <w:top w:val="single" w:sz="4" w:space="0" w:color="auto"/>
              <w:left w:val="single" w:sz="4" w:space="0" w:color="auto"/>
              <w:bottom w:val="single" w:sz="4" w:space="0" w:color="auto"/>
              <w:right w:val="single" w:sz="4" w:space="0" w:color="auto"/>
            </w:tcBorders>
            <w:vAlign w:val="center"/>
            <w:hideMark/>
          </w:tcPr>
          <w:p w14:paraId="18626B0B" w14:textId="77777777" w:rsidR="00456D0C" w:rsidRDefault="00456D0C">
            <w:pPr>
              <w:jc w:val="center"/>
              <w:rPr>
                <w:lang w:val="fr-FR" w:eastAsia="fr-FR"/>
              </w:rPr>
            </w:pPr>
            <w:r>
              <w:rPr>
                <w:lang w:val="fr-FR" w:eastAsia="fr-FR"/>
              </w:rPr>
              <w:t>3.732e-03</w:t>
            </w:r>
          </w:p>
        </w:tc>
      </w:tr>
      <w:tr w:rsidR="00456D0C" w14:paraId="0E1E400D" w14:textId="77777777" w:rsidTr="00456D0C">
        <w:trPr>
          <w:trHeight w:val="567"/>
        </w:trPr>
        <w:tc>
          <w:tcPr>
            <w:tcW w:w="132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6964BB0" w14:textId="77777777" w:rsidR="00456D0C" w:rsidRPr="00B35EF8" w:rsidRDefault="00456D0C" w:rsidP="00B35EF8">
            <w:pPr>
              <w:spacing w:before="0" w:after="0"/>
              <w:jc w:val="center"/>
              <w:rPr>
                <w:color w:val="000000"/>
              </w:rPr>
            </w:pPr>
            <w:r>
              <w:rPr>
                <w:color w:val="000000"/>
              </w:rPr>
              <w:t>Orbit determination date</w:t>
            </w:r>
          </w:p>
        </w:tc>
        <w:tc>
          <w:tcPr>
            <w:tcW w:w="3425"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14:paraId="3EE263DF" w14:textId="77777777" w:rsidR="00456D0C" w:rsidRPr="00B35EF8" w:rsidRDefault="00456D0C" w:rsidP="00B35EF8">
            <w:pPr>
              <w:spacing w:before="0" w:after="0"/>
              <w:jc w:val="center"/>
              <w:rPr>
                <w:color w:val="000000"/>
              </w:rPr>
            </w:pPr>
            <w:r>
              <w:rPr>
                <w:color w:val="000000"/>
              </w:rPr>
              <w:t>Impact date estimate</w:t>
            </w:r>
          </w:p>
        </w:tc>
      </w:tr>
      <w:tr w:rsidR="00456D0C" w14:paraId="1C86FE57" w14:textId="77777777" w:rsidTr="00456D0C">
        <w:trPr>
          <w:trHeight w:val="567"/>
        </w:trPr>
        <w:tc>
          <w:tcPr>
            <w:tcW w:w="1327" w:type="dxa"/>
            <w:tcBorders>
              <w:top w:val="single" w:sz="4" w:space="0" w:color="auto"/>
              <w:left w:val="single" w:sz="4" w:space="0" w:color="auto"/>
              <w:bottom w:val="single" w:sz="4" w:space="0" w:color="auto"/>
              <w:right w:val="single" w:sz="4" w:space="0" w:color="auto"/>
            </w:tcBorders>
            <w:vAlign w:val="center"/>
            <w:hideMark/>
          </w:tcPr>
          <w:p w14:paraId="398BE4A0" w14:textId="77777777" w:rsidR="00456D0C" w:rsidRDefault="00456D0C">
            <w:pPr>
              <w:jc w:val="center"/>
              <w:rPr>
                <w:lang w:val="fr-FR" w:eastAsia="fr-FR"/>
              </w:rPr>
            </w:pPr>
            <w:r>
              <w:rPr>
                <w:lang w:val="fr-FR" w:eastAsia="fr-FR"/>
              </w:rPr>
              <w:t>2018/04/01 07h51</w:t>
            </w:r>
          </w:p>
        </w:tc>
        <w:tc>
          <w:tcPr>
            <w:tcW w:w="3425" w:type="dxa"/>
            <w:gridSpan w:val="3"/>
            <w:tcBorders>
              <w:top w:val="single" w:sz="4" w:space="0" w:color="auto"/>
              <w:left w:val="single" w:sz="4" w:space="0" w:color="auto"/>
              <w:bottom w:val="single" w:sz="4" w:space="0" w:color="auto"/>
              <w:right w:val="single" w:sz="4" w:space="0" w:color="auto"/>
            </w:tcBorders>
            <w:vAlign w:val="center"/>
            <w:hideMark/>
          </w:tcPr>
          <w:p w14:paraId="46CEA6EA" w14:textId="77777777" w:rsidR="00456D0C" w:rsidRDefault="00456D0C">
            <w:pPr>
              <w:jc w:val="center"/>
              <w:rPr>
                <w:lang w:val="fr-FR" w:eastAsia="fr-FR"/>
              </w:rPr>
            </w:pPr>
            <w:r>
              <w:rPr>
                <w:lang w:val="fr-FR" w:eastAsia="fr-FR"/>
              </w:rPr>
              <w:t xml:space="preserve">OCC : 2018/04/02 </w:t>
            </w:r>
            <w:proofErr w:type="gramStart"/>
            <w:r>
              <w:rPr>
                <w:lang w:val="fr-FR" w:eastAsia="fr-FR"/>
              </w:rPr>
              <w:t>01:</w:t>
            </w:r>
            <w:proofErr w:type="gramEnd"/>
            <w:r>
              <w:rPr>
                <w:lang w:val="fr-FR" w:eastAsia="fr-FR"/>
              </w:rPr>
              <w:t>49</w:t>
            </w:r>
          </w:p>
          <w:p w14:paraId="00E64238" w14:textId="77777777" w:rsidR="00456D0C" w:rsidRDefault="00456D0C">
            <w:pPr>
              <w:jc w:val="center"/>
              <w:rPr>
                <w:lang w:val="fr-FR" w:eastAsia="fr-FR"/>
              </w:rPr>
            </w:pPr>
            <w:r>
              <w:rPr>
                <w:lang w:val="fr-FR" w:eastAsia="fr-FR"/>
              </w:rPr>
              <w:t>PSIMU : 2018/04/01 00 :35</w:t>
            </w:r>
          </w:p>
        </w:tc>
      </w:tr>
      <w:tr w:rsidR="00456D0C" w14:paraId="1C10D83C" w14:textId="77777777" w:rsidTr="00456D0C">
        <w:trPr>
          <w:trHeight w:val="567"/>
        </w:trPr>
        <w:tc>
          <w:tcPr>
            <w:tcW w:w="1327" w:type="dxa"/>
            <w:tcBorders>
              <w:top w:val="single" w:sz="4" w:space="0" w:color="auto"/>
              <w:left w:val="single" w:sz="4" w:space="0" w:color="auto"/>
              <w:bottom w:val="single" w:sz="4" w:space="0" w:color="auto"/>
              <w:right w:val="single" w:sz="4" w:space="0" w:color="auto"/>
            </w:tcBorders>
            <w:vAlign w:val="center"/>
          </w:tcPr>
          <w:p w14:paraId="01D81897" w14:textId="77777777" w:rsidR="00456D0C" w:rsidRDefault="00456D0C">
            <w:pPr>
              <w:jc w:val="center"/>
              <w:rPr>
                <w:lang w:val="fr-FR" w:eastAsia="fr-FR"/>
              </w:rPr>
            </w:pPr>
          </w:p>
        </w:tc>
        <w:tc>
          <w:tcPr>
            <w:tcW w:w="112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A3414AF" w14:textId="77777777" w:rsidR="00456D0C" w:rsidRPr="00B35EF8" w:rsidRDefault="00456D0C" w:rsidP="00B35EF8">
            <w:pPr>
              <w:spacing w:before="0" w:after="0"/>
              <w:jc w:val="center"/>
              <w:rPr>
                <w:lang w:eastAsia="fr-FR"/>
              </w:rPr>
            </w:pPr>
            <w:r w:rsidRPr="00B35EF8">
              <w:rPr>
                <w:lang w:eastAsia="fr-FR"/>
              </w:rPr>
              <w:t xml:space="preserve">Ballistic </w:t>
            </w:r>
            <w:proofErr w:type="spellStart"/>
            <w:r w:rsidRPr="00B35EF8">
              <w:rPr>
                <w:lang w:eastAsia="fr-FR"/>
              </w:rPr>
              <w:t>coef</w:t>
            </w:r>
            <w:proofErr w:type="spellEnd"/>
            <w:r w:rsidRPr="00B35EF8">
              <w:rPr>
                <w:lang w:eastAsia="fr-FR"/>
              </w:rPr>
              <w:t xml:space="preserve"> (kg/m2)</w:t>
            </w:r>
          </w:p>
        </w:tc>
        <w:tc>
          <w:tcPr>
            <w:tcW w:w="1055"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B0A6C23" w14:textId="77777777" w:rsidR="00456D0C" w:rsidRPr="00B35EF8" w:rsidRDefault="00456D0C" w:rsidP="00B35EF8">
            <w:pPr>
              <w:spacing w:before="0" w:after="0"/>
              <w:jc w:val="center"/>
              <w:rPr>
                <w:lang w:eastAsia="fr-FR"/>
              </w:rPr>
            </w:pPr>
            <w:r w:rsidRPr="00B35EF8">
              <w:rPr>
                <w:lang w:eastAsia="fr-FR"/>
              </w:rPr>
              <w:t>Pc</w:t>
            </w:r>
          </w:p>
        </w:tc>
        <w:tc>
          <w:tcPr>
            <w:tcW w:w="1242"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9E33262" w14:textId="77777777" w:rsidR="00456D0C" w:rsidRPr="00B35EF8" w:rsidRDefault="00456D0C" w:rsidP="00B35EF8">
            <w:pPr>
              <w:spacing w:before="0" w:after="0"/>
              <w:jc w:val="center"/>
              <w:rPr>
                <w:lang w:eastAsia="fr-FR"/>
              </w:rPr>
            </w:pPr>
            <w:proofErr w:type="spellStart"/>
            <w:r w:rsidRPr="00B35EF8">
              <w:rPr>
                <w:lang w:eastAsia="fr-FR"/>
              </w:rPr>
              <w:t>Ec</w:t>
            </w:r>
            <w:proofErr w:type="spellEnd"/>
          </w:p>
        </w:tc>
      </w:tr>
      <w:tr w:rsidR="00456D0C" w14:paraId="2DCB126B" w14:textId="77777777" w:rsidTr="00456D0C">
        <w:trPr>
          <w:trHeight w:val="567"/>
        </w:trPr>
        <w:tc>
          <w:tcPr>
            <w:tcW w:w="1327" w:type="dxa"/>
            <w:tcBorders>
              <w:top w:val="single" w:sz="4" w:space="0" w:color="auto"/>
              <w:left w:val="single" w:sz="4" w:space="0" w:color="auto"/>
              <w:bottom w:val="single" w:sz="4" w:space="0" w:color="auto"/>
              <w:right w:val="single" w:sz="4" w:space="0" w:color="auto"/>
            </w:tcBorders>
            <w:vAlign w:val="center"/>
          </w:tcPr>
          <w:p w14:paraId="4D44285F" w14:textId="77777777" w:rsidR="00456D0C" w:rsidRDefault="00456D0C">
            <w:pPr>
              <w:jc w:val="center"/>
              <w:rPr>
                <w:lang w:val="fr-FR" w:eastAsia="fr-FR"/>
              </w:rPr>
            </w:pPr>
          </w:p>
        </w:tc>
        <w:tc>
          <w:tcPr>
            <w:tcW w:w="1128" w:type="dxa"/>
            <w:tcBorders>
              <w:top w:val="single" w:sz="4" w:space="0" w:color="auto"/>
              <w:left w:val="single" w:sz="4" w:space="0" w:color="auto"/>
              <w:bottom w:val="single" w:sz="4" w:space="0" w:color="auto"/>
              <w:right w:val="single" w:sz="4" w:space="0" w:color="auto"/>
            </w:tcBorders>
            <w:vAlign w:val="center"/>
            <w:hideMark/>
          </w:tcPr>
          <w:p w14:paraId="4ACDB5A7" w14:textId="77777777" w:rsidR="00456D0C" w:rsidRDefault="00456D0C">
            <w:pPr>
              <w:jc w:val="center"/>
              <w:rPr>
                <w:lang w:val="fr-FR" w:eastAsia="fr-FR"/>
              </w:rPr>
            </w:pPr>
            <w:r>
              <w:rPr>
                <w:lang w:val="fr-FR" w:eastAsia="fr-FR"/>
              </w:rPr>
              <w:t>163.4</w:t>
            </w:r>
          </w:p>
        </w:tc>
        <w:tc>
          <w:tcPr>
            <w:tcW w:w="1055" w:type="dxa"/>
            <w:tcBorders>
              <w:top w:val="single" w:sz="4" w:space="0" w:color="auto"/>
              <w:left w:val="single" w:sz="4" w:space="0" w:color="auto"/>
              <w:bottom w:val="single" w:sz="4" w:space="0" w:color="auto"/>
              <w:right w:val="single" w:sz="4" w:space="0" w:color="auto"/>
            </w:tcBorders>
            <w:vAlign w:val="center"/>
            <w:hideMark/>
          </w:tcPr>
          <w:p w14:paraId="50BEAC25" w14:textId="77777777" w:rsidR="00456D0C" w:rsidRDefault="00456D0C">
            <w:pPr>
              <w:jc w:val="center"/>
              <w:rPr>
                <w:lang w:val="fr-FR" w:eastAsia="fr-FR"/>
              </w:rPr>
            </w:pPr>
            <w:r>
              <w:rPr>
                <w:lang w:val="fr-FR" w:eastAsia="fr-FR"/>
              </w:rPr>
              <w:t>3.237</w:t>
            </w:r>
            <w:r>
              <w:rPr>
                <w:vertAlign w:val="superscript"/>
                <w:lang w:val="fr-FR" w:eastAsia="fr-FR"/>
              </w:rPr>
              <w:t>e</w:t>
            </w:r>
            <w:r>
              <w:rPr>
                <w:lang w:val="fr-FR" w:eastAsia="fr-FR"/>
              </w:rPr>
              <w:t>-03</w:t>
            </w:r>
          </w:p>
        </w:tc>
        <w:tc>
          <w:tcPr>
            <w:tcW w:w="1242" w:type="dxa"/>
            <w:tcBorders>
              <w:top w:val="single" w:sz="4" w:space="0" w:color="auto"/>
              <w:left w:val="single" w:sz="4" w:space="0" w:color="auto"/>
              <w:bottom w:val="single" w:sz="4" w:space="0" w:color="auto"/>
              <w:right w:val="single" w:sz="4" w:space="0" w:color="auto"/>
            </w:tcBorders>
            <w:vAlign w:val="center"/>
            <w:hideMark/>
          </w:tcPr>
          <w:p w14:paraId="3DDEF789" w14:textId="77777777" w:rsidR="00456D0C" w:rsidRDefault="00456D0C">
            <w:pPr>
              <w:jc w:val="center"/>
              <w:rPr>
                <w:lang w:val="fr-FR" w:eastAsia="fr-FR"/>
              </w:rPr>
            </w:pPr>
            <w:r>
              <w:rPr>
                <w:lang w:val="fr-FR" w:eastAsia="fr-FR"/>
              </w:rPr>
              <w:t>3.305</w:t>
            </w:r>
            <w:r>
              <w:rPr>
                <w:vertAlign w:val="superscript"/>
                <w:lang w:val="fr-FR" w:eastAsia="fr-FR"/>
              </w:rPr>
              <w:t>e</w:t>
            </w:r>
            <w:r>
              <w:rPr>
                <w:lang w:val="fr-FR" w:eastAsia="fr-FR"/>
              </w:rPr>
              <w:t>-03</w:t>
            </w:r>
          </w:p>
        </w:tc>
      </w:tr>
      <w:tr w:rsidR="00456D0C" w14:paraId="0D880F13" w14:textId="77777777" w:rsidTr="00456D0C">
        <w:trPr>
          <w:trHeight w:val="567"/>
        </w:trPr>
        <w:tc>
          <w:tcPr>
            <w:tcW w:w="132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28E6FEE" w14:textId="77777777" w:rsidR="00456D0C" w:rsidRPr="00B35EF8" w:rsidRDefault="00456D0C" w:rsidP="00B35EF8">
            <w:pPr>
              <w:spacing w:before="0" w:after="0"/>
              <w:jc w:val="center"/>
              <w:rPr>
                <w:color w:val="000000"/>
              </w:rPr>
            </w:pPr>
            <w:r>
              <w:rPr>
                <w:color w:val="000000"/>
              </w:rPr>
              <w:t>Orbit determination date</w:t>
            </w:r>
          </w:p>
        </w:tc>
        <w:tc>
          <w:tcPr>
            <w:tcW w:w="3425"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14:paraId="0D68EE3B" w14:textId="77777777" w:rsidR="00456D0C" w:rsidRPr="00B35EF8" w:rsidRDefault="00456D0C" w:rsidP="00B35EF8">
            <w:pPr>
              <w:spacing w:before="0" w:after="0"/>
              <w:jc w:val="center"/>
              <w:rPr>
                <w:color w:val="000000"/>
              </w:rPr>
            </w:pPr>
            <w:r>
              <w:rPr>
                <w:color w:val="000000"/>
              </w:rPr>
              <w:t>Impact date estimate</w:t>
            </w:r>
          </w:p>
        </w:tc>
      </w:tr>
      <w:tr w:rsidR="00456D0C" w14:paraId="3319CCAA" w14:textId="77777777" w:rsidTr="00456D0C">
        <w:trPr>
          <w:trHeight w:val="567"/>
        </w:trPr>
        <w:tc>
          <w:tcPr>
            <w:tcW w:w="1327" w:type="dxa"/>
            <w:tcBorders>
              <w:top w:val="single" w:sz="4" w:space="0" w:color="auto"/>
              <w:left w:val="single" w:sz="4" w:space="0" w:color="auto"/>
              <w:bottom w:val="single" w:sz="4" w:space="0" w:color="auto"/>
              <w:right w:val="single" w:sz="4" w:space="0" w:color="auto"/>
            </w:tcBorders>
            <w:vAlign w:val="center"/>
            <w:hideMark/>
          </w:tcPr>
          <w:p w14:paraId="37B703E0" w14:textId="77777777" w:rsidR="00456D0C" w:rsidRDefault="00456D0C">
            <w:pPr>
              <w:jc w:val="center"/>
              <w:rPr>
                <w:lang w:val="fr-FR" w:eastAsia="fr-FR"/>
              </w:rPr>
            </w:pPr>
            <w:r>
              <w:rPr>
                <w:lang w:val="fr-FR" w:eastAsia="fr-FR"/>
              </w:rPr>
              <w:t>2018/04/01 15h04</w:t>
            </w:r>
          </w:p>
        </w:tc>
        <w:tc>
          <w:tcPr>
            <w:tcW w:w="3425" w:type="dxa"/>
            <w:gridSpan w:val="3"/>
            <w:tcBorders>
              <w:top w:val="single" w:sz="4" w:space="0" w:color="auto"/>
              <w:left w:val="single" w:sz="4" w:space="0" w:color="auto"/>
              <w:bottom w:val="single" w:sz="4" w:space="0" w:color="auto"/>
              <w:right w:val="single" w:sz="4" w:space="0" w:color="auto"/>
            </w:tcBorders>
            <w:vAlign w:val="center"/>
            <w:hideMark/>
          </w:tcPr>
          <w:p w14:paraId="031C7628" w14:textId="77777777" w:rsidR="00456D0C" w:rsidRDefault="00456D0C">
            <w:pPr>
              <w:jc w:val="center"/>
              <w:rPr>
                <w:lang w:val="fr-FR" w:eastAsia="fr-FR"/>
              </w:rPr>
            </w:pPr>
            <w:r>
              <w:rPr>
                <w:lang w:val="fr-FR" w:eastAsia="fr-FR"/>
              </w:rPr>
              <w:t xml:space="preserve">OCC : 2018/04/02 </w:t>
            </w:r>
            <w:proofErr w:type="gramStart"/>
            <w:r>
              <w:rPr>
                <w:lang w:val="fr-FR" w:eastAsia="fr-FR"/>
              </w:rPr>
              <w:t>01:</w:t>
            </w:r>
            <w:proofErr w:type="gramEnd"/>
            <w:r>
              <w:rPr>
                <w:lang w:val="fr-FR" w:eastAsia="fr-FR"/>
              </w:rPr>
              <w:t>24</w:t>
            </w:r>
          </w:p>
          <w:p w14:paraId="75ED7E79" w14:textId="77777777" w:rsidR="00456D0C" w:rsidRDefault="00456D0C">
            <w:pPr>
              <w:jc w:val="center"/>
              <w:rPr>
                <w:lang w:val="fr-FR" w:eastAsia="fr-FR"/>
              </w:rPr>
            </w:pPr>
            <w:r>
              <w:rPr>
                <w:lang w:val="fr-FR" w:eastAsia="fr-FR"/>
              </w:rPr>
              <w:t>PSIMU : 2018/04/01 00 :19</w:t>
            </w:r>
          </w:p>
        </w:tc>
      </w:tr>
      <w:tr w:rsidR="00456D0C" w14:paraId="732A05BA" w14:textId="77777777" w:rsidTr="00456D0C">
        <w:trPr>
          <w:trHeight w:val="567"/>
        </w:trPr>
        <w:tc>
          <w:tcPr>
            <w:tcW w:w="1327" w:type="dxa"/>
            <w:tcBorders>
              <w:top w:val="single" w:sz="4" w:space="0" w:color="auto"/>
              <w:left w:val="single" w:sz="4" w:space="0" w:color="auto"/>
              <w:bottom w:val="single" w:sz="4" w:space="0" w:color="auto"/>
              <w:right w:val="single" w:sz="4" w:space="0" w:color="auto"/>
            </w:tcBorders>
            <w:vAlign w:val="center"/>
          </w:tcPr>
          <w:p w14:paraId="7FCD651A" w14:textId="77777777" w:rsidR="00456D0C" w:rsidRDefault="00456D0C">
            <w:pPr>
              <w:jc w:val="center"/>
              <w:rPr>
                <w:lang w:val="fr-FR" w:eastAsia="fr-FR"/>
              </w:rPr>
            </w:pPr>
          </w:p>
        </w:tc>
        <w:tc>
          <w:tcPr>
            <w:tcW w:w="112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5ACA45D" w14:textId="77777777" w:rsidR="00456D0C" w:rsidRPr="00B35EF8" w:rsidRDefault="00456D0C" w:rsidP="00B35EF8">
            <w:pPr>
              <w:spacing w:before="0" w:after="0"/>
              <w:jc w:val="center"/>
              <w:rPr>
                <w:lang w:eastAsia="fr-FR"/>
              </w:rPr>
            </w:pPr>
            <w:r w:rsidRPr="00B35EF8">
              <w:rPr>
                <w:lang w:eastAsia="fr-FR"/>
              </w:rPr>
              <w:t xml:space="preserve">Ballistic </w:t>
            </w:r>
            <w:proofErr w:type="spellStart"/>
            <w:r w:rsidRPr="00B35EF8">
              <w:rPr>
                <w:lang w:eastAsia="fr-FR"/>
              </w:rPr>
              <w:t>coef</w:t>
            </w:r>
            <w:proofErr w:type="spellEnd"/>
            <w:r w:rsidRPr="00B35EF8">
              <w:rPr>
                <w:lang w:eastAsia="fr-FR"/>
              </w:rPr>
              <w:t xml:space="preserve"> (kg/m2)</w:t>
            </w:r>
          </w:p>
        </w:tc>
        <w:tc>
          <w:tcPr>
            <w:tcW w:w="1055"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B2A3876" w14:textId="77777777" w:rsidR="00456D0C" w:rsidRPr="00B35EF8" w:rsidRDefault="00456D0C" w:rsidP="00B35EF8">
            <w:pPr>
              <w:spacing w:before="0" w:after="0"/>
              <w:jc w:val="center"/>
              <w:rPr>
                <w:lang w:eastAsia="fr-FR"/>
              </w:rPr>
            </w:pPr>
            <w:r w:rsidRPr="00B35EF8">
              <w:rPr>
                <w:lang w:eastAsia="fr-FR"/>
              </w:rPr>
              <w:t>Pc</w:t>
            </w:r>
          </w:p>
        </w:tc>
        <w:tc>
          <w:tcPr>
            <w:tcW w:w="1242"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DC4D4F2" w14:textId="77777777" w:rsidR="00456D0C" w:rsidRPr="00B35EF8" w:rsidRDefault="00456D0C" w:rsidP="00B35EF8">
            <w:pPr>
              <w:spacing w:before="0" w:after="0"/>
              <w:jc w:val="center"/>
              <w:rPr>
                <w:lang w:eastAsia="fr-FR"/>
              </w:rPr>
            </w:pPr>
            <w:proofErr w:type="spellStart"/>
            <w:r w:rsidRPr="00B35EF8">
              <w:rPr>
                <w:lang w:eastAsia="fr-FR"/>
              </w:rPr>
              <w:t>Ec</w:t>
            </w:r>
            <w:proofErr w:type="spellEnd"/>
          </w:p>
        </w:tc>
      </w:tr>
      <w:tr w:rsidR="00456D0C" w14:paraId="18EF31AD" w14:textId="77777777" w:rsidTr="00456D0C">
        <w:trPr>
          <w:trHeight w:val="567"/>
        </w:trPr>
        <w:tc>
          <w:tcPr>
            <w:tcW w:w="1327" w:type="dxa"/>
            <w:tcBorders>
              <w:top w:val="single" w:sz="4" w:space="0" w:color="auto"/>
              <w:left w:val="single" w:sz="4" w:space="0" w:color="auto"/>
              <w:bottom w:val="single" w:sz="4" w:space="0" w:color="auto"/>
              <w:right w:val="single" w:sz="4" w:space="0" w:color="auto"/>
            </w:tcBorders>
            <w:vAlign w:val="center"/>
          </w:tcPr>
          <w:p w14:paraId="2E2AAB28" w14:textId="77777777" w:rsidR="00456D0C" w:rsidRDefault="00456D0C">
            <w:pPr>
              <w:jc w:val="center"/>
              <w:rPr>
                <w:lang w:val="fr-FR" w:eastAsia="fr-FR"/>
              </w:rPr>
            </w:pPr>
          </w:p>
        </w:tc>
        <w:tc>
          <w:tcPr>
            <w:tcW w:w="1128" w:type="dxa"/>
            <w:tcBorders>
              <w:top w:val="single" w:sz="4" w:space="0" w:color="auto"/>
              <w:left w:val="single" w:sz="4" w:space="0" w:color="auto"/>
              <w:bottom w:val="single" w:sz="4" w:space="0" w:color="auto"/>
              <w:right w:val="single" w:sz="4" w:space="0" w:color="auto"/>
            </w:tcBorders>
            <w:vAlign w:val="center"/>
            <w:hideMark/>
          </w:tcPr>
          <w:p w14:paraId="35F4D74D" w14:textId="77777777" w:rsidR="00456D0C" w:rsidRDefault="00456D0C">
            <w:pPr>
              <w:jc w:val="center"/>
              <w:rPr>
                <w:lang w:val="fr-FR" w:eastAsia="fr-FR"/>
              </w:rPr>
            </w:pPr>
            <w:r>
              <w:rPr>
                <w:lang w:val="fr-FR" w:eastAsia="fr-FR"/>
              </w:rPr>
              <w:t>159.81</w:t>
            </w:r>
          </w:p>
        </w:tc>
        <w:tc>
          <w:tcPr>
            <w:tcW w:w="1055" w:type="dxa"/>
            <w:tcBorders>
              <w:top w:val="single" w:sz="4" w:space="0" w:color="auto"/>
              <w:left w:val="single" w:sz="4" w:space="0" w:color="auto"/>
              <w:bottom w:val="single" w:sz="4" w:space="0" w:color="auto"/>
              <w:right w:val="single" w:sz="4" w:space="0" w:color="auto"/>
            </w:tcBorders>
            <w:vAlign w:val="center"/>
            <w:hideMark/>
          </w:tcPr>
          <w:p w14:paraId="0CF4808A" w14:textId="77777777" w:rsidR="00456D0C" w:rsidRDefault="00456D0C">
            <w:pPr>
              <w:jc w:val="center"/>
              <w:rPr>
                <w:lang w:val="fr-FR" w:eastAsia="fr-FR"/>
              </w:rPr>
            </w:pPr>
            <w:r>
              <w:rPr>
                <w:lang w:val="fr-FR" w:eastAsia="fr-FR"/>
              </w:rPr>
              <w:t>2.813e-03</w:t>
            </w:r>
          </w:p>
        </w:tc>
        <w:tc>
          <w:tcPr>
            <w:tcW w:w="1242" w:type="dxa"/>
            <w:tcBorders>
              <w:top w:val="single" w:sz="4" w:space="0" w:color="auto"/>
              <w:left w:val="single" w:sz="4" w:space="0" w:color="auto"/>
              <w:bottom w:val="single" w:sz="4" w:space="0" w:color="auto"/>
              <w:right w:val="single" w:sz="4" w:space="0" w:color="auto"/>
            </w:tcBorders>
            <w:vAlign w:val="center"/>
            <w:hideMark/>
          </w:tcPr>
          <w:p w14:paraId="1AF3E043" w14:textId="77777777" w:rsidR="00456D0C" w:rsidRDefault="00456D0C" w:rsidP="00456D0C">
            <w:pPr>
              <w:keepNext/>
              <w:jc w:val="center"/>
              <w:rPr>
                <w:lang w:eastAsia="fr-FR"/>
              </w:rPr>
            </w:pPr>
            <w:r>
              <w:rPr>
                <w:lang w:eastAsia="fr-FR"/>
              </w:rPr>
              <w:t>2.884e-03</w:t>
            </w:r>
          </w:p>
        </w:tc>
      </w:tr>
    </w:tbl>
    <w:p w14:paraId="5F87C262" w14:textId="2A4FD7C6" w:rsidR="00456D0C" w:rsidRDefault="00456D0C" w:rsidP="00456D0C">
      <w:pPr>
        <w:pStyle w:val="Lgende"/>
        <w:jc w:val="center"/>
      </w:pPr>
      <w:bookmarkStart w:id="5" w:name="_Ref528588714"/>
      <w:r>
        <w:t xml:space="preserve">Table </w:t>
      </w:r>
      <w:r>
        <w:fldChar w:fldCharType="begin"/>
      </w:r>
      <w:r>
        <w:instrText xml:space="preserve"> SEQ Table \* ARABIC </w:instrText>
      </w:r>
      <w:r>
        <w:fldChar w:fldCharType="separate"/>
      </w:r>
      <w:r w:rsidR="00B276BF">
        <w:rPr>
          <w:noProof/>
        </w:rPr>
        <w:t>3</w:t>
      </w:r>
      <w:r>
        <w:fldChar w:fldCharType="end"/>
      </w:r>
      <w:bookmarkEnd w:id="5"/>
      <w:r>
        <w:t xml:space="preserve">: </w:t>
      </w:r>
      <w:r w:rsidRPr="00516D68">
        <w:t>Impact date estimate and risk computation</w:t>
      </w:r>
    </w:p>
    <w:p w14:paraId="09397EB2" w14:textId="77777777" w:rsidR="00456D0C" w:rsidRDefault="00456D0C" w:rsidP="00456D0C">
      <w:pPr>
        <w:jc w:val="both"/>
      </w:pPr>
    </w:p>
    <w:p w14:paraId="4FBE128B" w14:textId="77777777" w:rsidR="00456D0C" w:rsidRDefault="00456D0C" w:rsidP="00B35EF8">
      <w:pPr>
        <w:keepNext/>
        <w:jc w:val="both"/>
      </w:pPr>
      <w:r>
        <w:rPr>
          <w:noProof/>
          <w:lang w:val="fr-FR" w:eastAsia="fr-FR"/>
        </w:rPr>
        <w:lastRenderedPageBreak/>
        <w:drawing>
          <wp:inline distT="0" distB="0" distL="0" distR="0" wp14:anchorId="2FC6DFCF" wp14:editId="2ADEDC6C">
            <wp:extent cx="2865120" cy="14859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5120" cy="1485900"/>
                    </a:xfrm>
                    <a:prstGeom prst="rect">
                      <a:avLst/>
                    </a:prstGeom>
                    <a:noFill/>
                    <a:ln>
                      <a:noFill/>
                    </a:ln>
                  </pic:spPr>
                </pic:pic>
              </a:graphicData>
            </a:graphic>
          </wp:inline>
        </w:drawing>
      </w:r>
    </w:p>
    <w:p w14:paraId="12C0B580" w14:textId="7F8CEE54" w:rsidR="00B35EF8" w:rsidRDefault="00456D0C" w:rsidP="00B35EF8">
      <w:pPr>
        <w:pStyle w:val="Lgende"/>
        <w:keepNext/>
        <w:jc w:val="both"/>
      </w:pPr>
      <w:bookmarkStart w:id="6" w:name="_Ref528588846"/>
      <w:r>
        <w:t xml:space="preserve">Figure </w:t>
      </w:r>
      <w:r>
        <w:fldChar w:fldCharType="begin"/>
      </w:r>
      <w:r>
        <w:instrText xml:space="preserve"> SEQ Figure \* ARABIC </w:instrText>
      </w:r>
      <w:r>
        <w:fldChar w:fldCharType="separate"/>
      </w:r>
      <w:r w:rsidR="00B276BF">
        <w:rPr>
          <w:noProof/>
        </w:rPr>
        <w:t>4</w:t>
      </w:r>
      <w:r>
        <w:fldChar w:fldCharType="end"/>
      </w:r>
      <w:bookmarkEnd w:id="6"/>
      <w:r>
        <w:t xml:space="preserve">: </w:t>
      </w:r>
      <w:r w:rsidRPr="00222E69">
        <w:t>Impact Map from March 30th orbit determination</w:t>
      </w:r>
    </w:p>
    <w:p w14:paraId="0FE2C5AF" w14:textId="09DD8840" w:rsidR="00B35EF8" w:rsidRDefault="00456D0C" w:rsidP="00B35EF8">
      <w:pPr>
        <w:pStyle w:val="Lgende"/>
        <w:keepNext/>
        <w:jc w:val="both"/>
      </w:pPr>
      <w:r>
        <w:rPr>
          <w:noProof/>
          <w:lang w:val="fr-FR" w:eastAsia="fr-FR"/>
        </w:rPr>
        <w:drawing>
          <wp:inline distT="0" distB="0" distL="0" distR="0" wp14:anchorId="17231FB3" wp14:editId="7322D0DA">
            <wp:extent cx="2905760" cy="1445895"/>
            <wp:effectExtent l="0" t="0" r="8890"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5760" cy="1445895"/>
                    </a:xfrm>
                    <a:prstGeom prst="rect">
                      <a:avLst/>
                    </a:prstGeom>
                    <a:noFill/>
                    <a:ln>
                      <a:noFill/>
                    </a:ln>
                  </pic:spPr>
                </pic:pic>
              </a:graphicData>
            </a:graphic>
          </wp:inline>
        </w:drawing>
      </w:r>
    </w:p>
    <w:p w14:paraId="6D207AEA" w14:textId="3D08E01F" w:rsidR="00456D0C" w:rsidRDefault="00B35EF8" w:rsidP="00B35EF8">
      <w:pPr>
        <w:pStyle w:val="Lgende"/>
        <w:jc w:val="center"/>
        <w:rPr>
          <w:i/>
          <w:iCs/>
          <w:highlight w:val="yellow"/>
          <w:lang w:eastAsia="fr-FR"/>
        </w:rPr>
      </w:pPr>
      <w:r>
        <w:t xml:space="preserve">Figure </w:t>
      </w:r>
      <w:r>
        <w:fldChar w:fldCharType="begin"/>
      </w:r>
      <w:r>
        <w:instrText xml:space="preserve"> SEQ Figure \* ARABIC </w:instrText>
      </w:r>
      <w:r>
        <w:fldChar w:fldCharType="separate"/>
      </w:r>
      <w:r w:rsidR="00B276BF">
        <w:rPr>
          <w:noProof/>
        </w:rPr>
        <w:t>5</w:t>
      </w:r>
      <w:r>
        <w:fldChar w:fldCharType="end"/>
      </w:r>
      <w:r>
        <w:t xml:space="preserve"> : </w:t>
      </w:r>
      <w:r w:rsidRPr="00965B96">
        <w:t>Impact Map from March 31st orbit determination</w:t>
      </w:r>
    </w:p>
    <w:p w14:paraId="4350E4E3" w14:textId="77777777" w:rsidR="00456D0C" w:rsidRDefault="00456D0C" w:rsidP="00B35EF8">
      <w:pPr>
        <w:keepNext/>
        <w:autoSpaceDE w:val="0"/>
        <w:autoSpaceDN w:val="0"/>
        <w:adjustRightInd w:val="0"/>
        <w:jc w:val="both"/>
      </w:pPr>
      <w:r>
        <w:rPr>
          <w:noProof/>
          <w:lang w:val="fr-FR" w:eastAsia="fr-FR"/>
        </w:rPr>
        <w:drawing>
          <wp:inline distT="0" distB="0" distL="0" distR="0" wp14:anchorId="7B84DA78" wp14:editId="067E48ED">
            <wp:extent cx="2872740" cy="1455420"/>
            <wp:effectExtent l="0" t="0" r="3810" b="0"/>
            <wp:docPr id="18" name="Image 18" descr="JFG2_res20180401_0927_t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FG2_res20180401_0927_tra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2740" cy="1455420"/>
                    </a:xfrm>
                    <a:prstGeom prst="rect">
                      <a:avLst/>
                    </a:prstGeom>
                    <a:noFill/>
                    <a:ln>
                      <a:noFill/>
                    </a:ln>
                  </pic:spPr>
                </pic:pic>
              </a:graphicData>
            </a:graphic>
          </wp:inline>
        </w:drawing>
      </w:r>
    </w:p>
    <w:p w14:paraId="765BAEC2" w14:textId="7101F815" w:rsidR="00456D0C" w:rsidRDefault="00456D0C" w:rsidP="00456D0C">
      <w:pPr>
        <w:pStyle w:val="Lgende"/>
        <w:jc w:val="center"/>
        <w:rPr>
          <w:i/>
          <w:iCs/>
          <w:highlight w:val="yellow"/>
          <w:lang w:eastAsia="fr-FR"/>
        </w:rPr>
      </w:pPr>
      <w:r>
        <w:t xml:space="preserve">Figure </w:t>
      </w:r>
      <w:r>
        <w:fldChar w:fldCharType="begin"/>
      </w:r>
      <w:r>
        <w:instrText xml:space="preserve"> SEQ Figure \* ARABIC </w:instrText>
      </w:r>
      <w:r>
        <w:fldChar w:fldCharType="separate"/>
      </w:r>
      <w:r w:rsidR="00B276BF">
        <w:rPr>
          <w:noProof/>
        </w:rPr>
        <w:t>6</w:t>
      </w:r>
      <w:r>
        <w:fldChar w:fldCharType="end"/>
      </w:r>
      <w:r>
        <w:t xml:space="preserve"> : </w:t>
      </w:r>
      <w:r w:rsidRPr="00B822DC">
        <w:t>Impact Map from April 1st, 7h51orbit determination</w:t>
      </w:r>
    </w:p>
    <w:p w14:paraId="7F38CF78" w14:textId="77777777" w:rsidR="00456D0C" w:rsidRDefault="00456D0C" w:rsidP="00B35EF8">
      <w:pPr>
        <w:keepNext/>
        <w:jc w:val="both"/>
      </w:pPr>
      <w:bookmarkStart w:id="7" w:name="_GoBack"/>
      <w:r>
        <w:rPr>
          <w:noProof/>
          <w:lang w:val="fr-FR" w:eastAsia="fr-FR"/>
        </w:rPr>
        <w:drawing>
          <wp:inline distT="0" distB="0" distL="0" distR="0" wp14:anchorId="32BE185E" wp14:editId="78BE7D32">
            <wp:extent cx="2903220" cy="1440180"/>
            <wp:effectExtent l="0" t="0" r="0" b="7620"/>
            <wp:docPr id="17" name="Image 17" descr="elec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lect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3220" cy="1440180"/>
                    </a:xfrm>
                    <a:prstGeom prst="rect">
                      <a:avLst/>
                    </a:prstGeom>
                    <a:noFill/>
                    <a:ln>
                      <a:noFill/>
                    </a:ln>
                  </pic:spPr>
                </pic:pic>
              </a:graphicData>
            </a:graphic>
          </wp:inline>
        </w:drawing>
      </w:r>
    </w:p>
    <w:p w14:paraId="7A9C34D6" w14:textId="02E488F4" w:rsidR="00456D0C" w:rsidRPr="00456D0C" w:rsidRDefault="00456D0C" w:rsidP="00B35EF8">
      <w:pPr>
        <w:pStyle w:val="Lgende"/>
        <w:jc w:val="center"/>
      </w:pPr>
      <w:bookmarkStart w:id="8" w:name="_Ref528588853"/>
      <w:bookmarkEnd w:id="7"/>
      <w:r>
        <w:t xml:space="preserve">Figure </w:t>
      </w:r>
      <w:r>
        <w:fldChar w:fldCharType="begin"/>
      </w:r>
      <w:r>
        <w:instrText xml:space="preserve"> SEQ Figure \* ARABIC </w:instrText>
      </w:r>
      <w:r>
        <w:fldChar w:fldCharType="separate"/>
      </w:r>
      <w:r w:rsidR="00B276BF">
        <w:rPr>
          <w:noProof/>
        </w:rPr>
        <w:t>7</w:t>
      </w:r>
      <w:r>
        <w:fldChar w:fldCharType="end"/>
      </w:r>
      <w:bookmarkEnd w:id="8"/>
      <w:r>
        <w:t xml:space="preserve"> : </w:t>
      </w:r>
      <w:r w:rsidRPr="001C70A9">
        <w:t>Impact Map from April 1st, 15h04 orbit determination</w:t>
      </w:r>
    </w:p>
    <w:p w14:paraId="55A3E05D" w14:textId="087EFF83" w:rsidR="00456D0C" w:rsidRDefault="00456D0C" w:rsidP="00456D0C">
      <w:pPr>
        <w:autoSpaceDE w:val="0"/>
        <w:autoSpaceDN w:val="0"/>
        <w:adjustRightInd w:val="0"/>
        <w:jc w:val="center"/>
        <w:rPr>
          <w:i/>
          <w:iCs/>
          <w:lang w:eastAsia="fr-FR"/>
        </w:rPr>
      </w:pPr>
    </w:p>
    <w:p w14:paraId="3A8F6C4E" w14:textId="33ADDCB8" w:rsidR="00456D0C" w:rsidRDefault="00073D98" w:rsidP="00456D0C">
      <w:pPr>
        <w:jc w:val="both"/>
      </w:pPr>
      <w:r>
        <w:fldChar w:fldCharType="begin"/>
      </w:r>
      <w:r>
        <w:instrText xml:space="preserve"> REF _Ref528588846 \h </w:instrText>
      </w:r>
      <w:r>
        <w:fldChar w:fldCharType="separate"/>
      </w:r>
      <w:r w:rsidR="00B276BF">
        <w:t xml:space="preserve">Figure </w:t>
      </w:r>
      <w:r w:rsidR="00B276BF">
        <w:rPr>
          <w:noProof/>
        </w:rPr>
        <w:t>4</w:t>
      </w:r>
      <w:r>
        <w:fldChar w:fldCharType="end"/>
      </w:r>
      <w:r>
        <w:t xml:space="preserve"> </w:t>
      </w:r>
      <w:r w:rsidR="00456D0C">
        <w:t xml:space="preserve">shows that 58h before re-entry, the possible impacts still cover nearly all the Earth surface in the [ </w:t>
      </w:r>
      <w:proofErr w:type="spellStart"/>
      <w:r w:rsidR="00456D0C">
        <w:t>i</w:t>
      </w:r>
      <w:proofErr w:type="spellEnd"/>
      <w:r w:rsidR="00456D0C">
        <w:t>°, +</w:t>
      </w:r>
      <w:proofErr w:type="spellStart"/>
      <w:r w:rsidR="00456D0C">
        <w:t>i</w:t>
      </w:r>
      <w:proofErr w:type="spellEnd"/>
      <w:r w:rsidR="00456D0C">
        <w:t xml:space="preserve">°] latitude band. The number of possible impacts decreases in the following maps. But with the last orbit determination about 9h before impact, the possible impacts are still distributed on about 2 orbits tracks. </w:t>
      </w:r>
    </w:p>
    <w:p w14:paraId="2F532945" w14:textId="489DCEC3" w:rsidR="00F1389C" w:rsidRDefault="00456D0C" w:rsidP="00456D0C">
      <w:pPr>
        <w:jc w:val="both"/>
      </w:pPr>
      <w:r>
        <w:t xml:space="preserve">The impact date was estimated using PSIMU. To compute the fall-out area, we used RC mode of </w:t>
      </w:r>
      <w:r w:rsidR="00073D98">
        <w:t>Electra:</w:t>
      </w:r>
      <w:r>
        <w:t xml:space="preserve"> we simulated a controlled re-entry with the last orbit determination, the estimated impact date and assuming no manoeuvers. The fall-out area is presented in fig 7. This maps indicated a fall-out area located in the South Pacific Ocean Uninhabited Area (SPOUA), which is the usual targeted area for controlled re-entries of </w:t>
      </w:r>
      <w:proofErr w:type="spellStart"/>
      <w:r>
        <w:t>spacecrafts</w:t>
      </w:r>
      <w:proofErr w:type="spellEnd"/>
      <w:r>
        <w:t>. It’s lucky for Earth population safety that this natural re-entry finished exactly in the place which would have been targeted if control of Tiangon-1 had been possible</w:t>
      </w:r>
    </w:p>
    <w:p w14:paraId="7CFE8293" w14:textId="4AE42BE0" w:rsidR="00456D0C" w:rsidRDefault="00456D0C" w:rsidP="00F1090D">
      <w:pPr>
        <w:jc w:val="both"/>
      </w:pPr>
    </w:p>
    <w:p w14:paraId="3DAF02E7" w14:textId="77777777" w:rsidR="00073D98" w:rsidRDefault="00073D98" w:rsidP="00073D98">
      <w:pPr>
        <w:keepNext/>
        <w:jc w:val="both"/>
      </w:pPr>
      <w:r>
        <w:rPr>
          <w:noProof/>
          <w:lang w:val="fr-FR" w:eastAsia="fr-FR"/>
        </w:rPr>
        <w:drawing>
          <wp:inline distT="0" distB="0" distL="0" distR="0" wp14:anchorId="46100D4C" wp14:editId="7F8AF4C1">
            <wp:extent cx="2926080" cy="1508760"/>
            <wp:effectExtent l="0" t="0" r="762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3">
                      <a:extLst>
                        <a:ext uri="{28A0092B-C50C-407E-A947-70E740481C1C}">
                          <a14:useLocalDpi xmlns:a14="http://schemas.microsoft.com/office/drawing/2010/main" val="0"/>
                        </a:ext>
                      </a:extLst>
                    </a:blip>
                    <a:srcRect l="15842" t="12535" r="2280" b="9811"/>
                    <a:stretch>
                      <a:fillRect/>
                    </a:stretch>
                  </pic:blipFill>
                  <pic:spPr bwMode="auto">
                    <a:xfrm>
                      <a:off x="0" y="0"/>
                      <a:ext cx="2926080" cy="1508760"/>
                    </a:xfrm>
                    <a:prstGeom prst="rect">
                      <a:avLst/>
                    </a:prstGeom>
                    <a:noFill/>
                    <a:ln>
                      <a:noFill/>
                    </a:ln>
                  </pic:spPr>
                </pic:pic>
              </a:graphicData>
            </a:graphic>
          </wp:inline>
        </w:drawing>
      </w:r>
    </w:p>
    <w:p w14:paraId="2E740E90" w14:textId="3551D44A" w:rsidR="00456D0C" w:rsidRDefault="00073D98" w:rsidP="00073D98">
      <w:pPr>
        <w:pStyle w:val="Lgende"/>
        <w:jc w:val="center"/>
      </w:pPr>
      <w:bookmarkStart w:id="9" w:name="_Ref528590716"/>
      <w:r>
        <w:t xml:space="preserve">Figure </w:t>
      </w:r>
      <w:r>
        <w:fldChar w:fldCharType="begin"/>
      </w:r>
      <w:r>
        <w:instrText xml:space="preserve"> SEQ Figure \* ARABIC </w:instrText>
      </w:r>
      <w:r>
        <w:fldChar w:fldCharType="separate"/>
      </w:r>
      <w:r w:rsidR="00B276BF">
        <w:rPr>
          <w:noProof/>
        </w:rPr>
        <w:t>8</w:t>
      </w:r>
      <w:r>
        <w:fldChar w:fldCharType="end"/>
      </w:r>
      <w:bookmarkEnd w:id="9"/>
      <w:r>
        <w:t xml:space="preserve"> : </w:t>
      </w:r>
      <w:r w:rsidRPr="00C12F6B">
        <w:t>Fall-out area computed by Electra</w:t>
      </w:r>
    </w:p>
    <w:p w14:paraId="28782AB8" w14:textId="250B9270" w:rsidR="00456D0C" w:rsidRDefault="00456D0C" w:rsidP="00F1090D">
      <w:pPr>
        <w:jc w:val="both"/>
      </w:pPr>
    </w:p>
    <w:p w14:paraId="47FD9200" w14:textId="0E7DF261" w:rsidR="00456D0C" w:rsidRDefault="00073D98" w:rsidP="00F1090D">
      <w:pPr>
        <w:jc w:val="both"/>
      </w:pPr>
      <w:r w:rsidRPr="00073D98">
        <w:t xml:space="preserve">Electra’s results, with orbital data computed via operational means, are very similar to </w:t>
      </w:r>
      <w:proofErr w:type="spellStart"/>
      <w:r w:rsidRPr="00073D98">
        <w:t>Jspoc</w:t>
      </w:r>
      <w:proofErr w:type="spellEnd"/>
      <w:r w:rsidRPr="00073D98">
        <w:t xml:space="preserve"> one’s as they estimated that Tiangon-1 crashed in South Pacific Ocean on 2018 March, 2nd at 0h16 UTC</w:t>
      </w:r>
      <w:r>
        <w:t xml:space="preserve"> [</w:t>
      </w:r>
      <w:r>
        <w:fldChar w:fldCharType="begin"/>
      </w:r>
      <w:r>
        <w:instrText xml:space="preserve"> REF _Ref528590716 \h </w:instrText>
      </w:r>
      <w:r>
        <w:fldChar w:fldCharType="separate"/>
      </w:r>
      <w:r w:rsidR="00B276BF">
        <w:t xml:space="preserve">Figure </w:t>
      </w:r>
      <w:r w:rsidR="00B276BF">
        <w:rPr>
          <w:noProof/>
        </w:rPr>
        <w:t>8</w:t>
      </w:r>
      <w:r>
        <w:fldChar w:fldCharType="end"/>
      </w:r>
      <w:r>
        <w:t>]</w:t>
      </w:r>
      <w:r w:rsidRPr="00073D98">
        <w:t>. This estimation is 3 minutes earlier than the last PSIMU estimation.</w:t>
      </w:r>
    </w:p>
    <w:p w14:paraId="1A6CBF82" w14:textId="77777777" w:rsidR="00073D98" w:rsidRDefault="00073D98" w:rsidP="00F1090D">
      <w:pPr>
        <w:jc w:val="both"/>
      </w:pPr>
    </w:p>
    <w:p w14:paraId="221B3145" w14:textId="77777777" w:rsidR="00F1090D" w:rsidRPr="000450E4" w:rsidRDefault="00F1090D" w:rsidP="00F1090D">
      <w:pPr>
        <w:pStyle w:val="Titre1"/>
        <w:tabs>
          <w:tab w:val="clear" w:pos="432"/>
        </w:tabs>
        <w:suppressAutoHyphens/>
        <w:ind w:right="0"/>
        <w:rPr>
          <w:lang w:val="en-US"/>
        </w:rPr>
      </w:pPr>
      <w:r w:rsidRPr="000450E4">
        <w:rPr>
          <w:lang w:val="en-US"/>
        </w:rPr>
        <w:t>CONCLUSION</w:t>
      </w:r>
    </w:p>
    <w:p w14:paraId="03EE1435" w14:textId="72C72F54" w:rsidR="00F1090D" w:rsidRPr="000450E4" w:rsidRDefault="00073D98" w:rsidP="00F1090D">
      <w:pPr>
        <w:jc w:val="both"/>
      </w:pPr>
      <w:r>
        <w:rPr>
          <w:lang w:val="en-GB"/>
        </w:rPr>
        <w:t>To assess the conformity of space operations to the French regulation, CNES have developed DEBRISK and ELECTRA tools. For the re-entry of the Chinese space station Tiangon-1, those tools combined with OCC operational means were used operationally together for the 1</w:t>
      </w:r>
      <w:r>
        <w:rPr>
          <w:vertAlign w:val="superscript"/>
          <w:lang w:val="en-GB"/>
        </w:rPr>
        <w:t>st</w:t>
      </w:r>
      <w:r>
        <w:rPr>
          <w:lang w:val="en-GB"/>
        </w:rPr>
        <w:t xml:space="preserve"> time to monitor the re-entry. The model of the station relies on CNES expertise. DEBRISK was used to simulate the ablation of a spacecraft during the re-entry into the atmosphere and asses the surviving fragments. OCC determined daily the orbital parameters based on RADAR observations. With an appropriate configuration of Electra’s RF mode, the risk for </w:t>
      </w:r>
      <w:r>
        <w:rPr>
          <w:lang w:val="en-GB"/>
        </w:rPr>
        <w:lastRenderedPageBreak/>
        <w:t>population, globally and for each country, was computed efficiently every day after each orbit determination by OCC. The combinations of those methods and means allowed a good monitoring of the re-entry and predictions on impact date and localisation similar to those of other agencies.</w:t>
      </w:r>
    </w:p>
    <w:p w14:paraId="5F89DF36" w14:textId="77777777" w:rsidR="00F1090D" w:rsidRPr="000450E4" w:rsidRDefault="00F1090D" w:rsidP="00F1090D">
      <w:pPr>
        <w:pStyle w:val="Titre1"/>
        <w:tabs>
          <w:tab w:val="clear" w:pos="432"/>
        </w:tabs>
        <w:suppressAutoHyphens/>
        <w:ind w:left="431" w:right="0" w:hanging="431"/>
        <w:rPr>
          <w:lang w:val="en-US"/>
        </w:rPr>
      </w:pPr>
      <w:r w:rsidRPr="000450E4">
        <w:rPr>
          <w:lang w:val="en-US"/>
        </w:rPr>
        <w:t>References</w:t>
      </w:r>
    </w:p>
    <w:p w14:paraId="2125BDBE" w14:textId="2D5304E5" w:rsidR="00073D98" w:rsidRDefault="00073D98" w:rsidP="00073D98">
      <w:pPr>
        <w:pStyle w:val="Paragraphedeliste"/>
        <w:numPr>
          <w:ilvl w:val="0"/>
          <w:numId w:val="7"/>
        </w:numPr>
        <w:spacing w:after="0"/>
        <w:contextualSpacing w:val="0"/>
        <w:jc w:val="both"/>
      </w:pPr>
      <w:bookmarkStart w:id="10" w:name="_Ref528591020"/>
      <w:bookmarkStart w:id="11" w:name="_Ref526942490"/>
      <w:bookmarkStart w:id="12" w:name="_Ref526942501"/>
      <w:r w:rsidRPr="00073D98">
        <w:t xml:space="preserve">J.F Goester, </w:t>
      </w:r>
      <w:r w:rsidRPr="00073D98">
        <w:rPr>
          <w:caps/>
        </w:rPr>
        <w:t xml:space="preserve">Free JAVATM Cnes flight dynamics </w:t>
      </w:r>
      <w:proofErr w:type="gramStart"/>
      <w:r w:rsidRPr="00073D98">
        <w:rPr>
          <w:caps/>
        </w:rPr>
        <w:t>tools,</w:t>
      </w:r>
      <w:r w:rsidRPr="00073D98">
        <w:t>;</w:t>
      </w:r>
      <w:proofErr w:type="gramEnd"/>
      <w:r w:rsidRPr="00073D98">
        <w:t xml:space="preserve"> </w:t>
      </w:r>
      <w:r w:rsidRPr="00844656">
        <w:t xml:space="preserve">7th International Conference on Astrodynamics Tools and Techniques, </w:t>
      </w:r>
      <w:proofErr w:type="spellStart"/>
      <w:r w:rsidRPr="00844656">
        <w:t>Oberpfaffenhofen</w:t>
      </w:r>
      <w:proofErr w:type="spellEnd"/>
      <w:r w:rsidRPr="00844656">
        <w:t>, Germany, 6-9 November 2018</w:t>
      </w:r>
      <w:bookmarkEnd w:id="10"/>
      <w:r w:rsidRPr="00073D98">
        <w:t xml:space="preserve"> </w:t>
      </w:r>
    </w:p>
    <w:p w14:paraId="7C8518A2" w14:textId="39B4C60D" w:rsidR="00073D98" w:rsidRDefault="00073D98" w:rsidP="00073D98">
      <w:pPr>
        <w:pStyle w:val="Paragraphedeliste"/>
        <w:numPr>
          <w:ilvl w:val="0"/>
          <w:numId w:val="7"/>
        </w:numPr>
        <w:spacing w:after="0"/>
        <w:contextualSpacing w:val="0"/>
        <w:jc w:val="both"/>
      </w:pPr>
      <w:bookmarkStart w:id="13" w:name="_Ref528591160"/>
      <w:r>
        <w:t>GPWv4, Gridded Population of the World, version4, CIESIN, Columbia University, http://sedac.ciesin.columbia.edu/data/collection/gpw-v4</w:t>
      </w:r>
      <w:bookmarkEnd w:id="13"/>
    </w:p>
    <w:p w14:paraId="6EC6148E" w14:textId="4F407F60" w:rsidR="00073D98" w:rsidRDefault="00073D98" w:rsidP="00073D98">
      <w:pPr>
        <w:pStyle w:val="Paragraphedeliste"/>
        <w:numPr>
          <w:ilvl w:val="0"/>
          <w:numId w:val="7"/>
        </w:numPr>
        <w:spacing w:after="0"/>
        <w:contextualSpacing w:val="0"/>
        <w:jc w:val="both"/>
      </w:pPr>
      <w:bookmarkStart w:id="14" w:name="_Ref528591161"/>
      <w:r>
        <w:t xml:space="preserve">A. Bellucci, N. </w:t>
      </w:r>
      <w:proofErr w:type="spellStart"/>
      <w:r>
        <w:t>Tholey</w:t>
      </w:r>
      <w:proofErr w:type="spellEnd"/>
      <w:r>
        <w:t xml:space="preserve">, M. </w:t>
      </w:r>
      <w:proofErr w:type="spellStart"/>
      <w:r>
        <w:t>Studer</w:t>
      </w:r>
      <w:proofErr w:type="spellEnd"/>
      <w:r>
        <w:t>, J.F. Goester, N. Fuentes</w:t>
      </w:r>
      <w:r w:rsidRPr="00073D98">
        <w:rPr>
          <w:caps/>
        </w:rPr>
        <w:t>, Extrapolation of population grids for risk analysis</w:t>
      </w:r>
      <w:r>
        <w:t>, 9</w:t>
      </w:r>
      <w:r>
        <w:rPr>
          <w:vertAlign w:val="superscript"/>
        </w:rPr>
        <w:t>th</w:t>
      </w:r>
      <w:r>
        <w:t xml:space="preserve"> IAASS </w:t>
      </w:r>
      <w:r>
        <w:rPr>
          <w:i/>
          <w:iCs/>
        </w:rPr>
        <w:t xml:space="preserve">(International Association for the Advancement of Space Safety) </w:t>
      </w:r>
      <w:r>
        <w:rPr>
          <w:iCs/>
        </w:rPr>
        <w:t>conference, 2</w:t>
      </w:r>
      <w:r>
        <w:t>017</w:t>
      </w:r>
      <w:bookmarkEnd w:id="14"/>
    </w:p>
    <w:bookmarkEnd w:id="11"/>
    <w:bookmarkEnd w:id="12"/>
    <w:p w14:paraId="17F39ED2" w14:textId="78635ED0" w:rsidR="00F1090D" w:rsidRPr="000450E4" w:rsidRDefault="00F1090D" w:rsidP="00844656">
      <w:pPr>
        <w:spacing w:before="60" w:after="60"/>
      </w:pPr>
    </w:p>
    <w:sectPr w:rsidR="00F1090D" w:rsidRPr="000450E4" w:rsidSect="004C0C3C">
      <w:footnotePr>
        <w:pos w:val="beneathText"/>
      </w:footnotePr>
      <w:type w:val="continuous"/>
      <w:pgSz w:w="12240" w:h="15840"/>
      <w:pgMar w:top="1985" w:right="1080" w:bottom="1411" w:left="1080" w:header="720" w:footer="720" w:gutter="0"/>
      <w:cols w:num="2" w:space="34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00000287" w:usb1="08070000" w:usb2="00000010" w:usb3="00000000" w:csb0="0002009F" w:csb1="00000000"/>
  </w:font>
  <w:font w:name="Calibri">
    <w:panose1 w:val="020F0502020204030204"/>
    <w:charset w:val="00"/>
    <w:family w:val="swiss"/>
    <w:pitch w:val="variable"/>
    <w:sig w:usb0="E0002AFF" w:usb1="C000247B" w:usb2="00000009" w:usb3="00000000" w:csb0="000001FF" w:csb1="00000000"/>
  </w:font>
  <w:font w:name="Bitstream Vera Sans">
    <w:charset w:val="00"/>
    <w:family w:val="roman"/>
    <w:pitch w:val="variable"/>
  </w:font>
  <w:font w:name="Times">
    <w:panose1 w:val="02020603050405020304"/>
    <w:charset w:val="00"/>
    <w:family w:val="roman"/>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A44F6E"/>
    <w:multiLevelType w:val="hybridMultilevel"/>
    <w:tmpl w:val="54966A00"/>
    <w:lvl w:ilvl="0" w:tplc="20EC489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2C296F"/>
    <w:multiLevelType w:val="hybridMultilevel"/>
    <w:tmpl w:val="9558B9F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BB0DDA"/>
    <w:multiLevelType w:val="hybridMultilevel"/>
    <w:tmpl w:val="1ACC6AFE"/>
    <w:lvl w:ilvl="0" w:tplc="CBC02F48">
      <w:numFmt w:val="bullet"/>
      <w:lvlText w:val="-"/>
      <w:lvlJc w:val="left"/>
      <w:pPr>
        <w:ind w:left="1080" w:hanging="360"/>
      </w:pPr>
      <w:rPr>
        <w:rFonts w:ascii="Arial" w:eastAsia="Times New Roman" w:hAnsi="Arial" w:cs="Aria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0C4F544C"/>
    <w:multiLevelType w:val="hybridMultilevel"/>
    <w:tmpl w:val="58FAE5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247A1B67"/>
    <w:multiLevelType w:val="hybridMultilevel"/>
    <w:tmpl w:val="F40872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B145205"/>
    <w:multiLevelType w:val="hybridMultilevel"/>
    <w:tmpl w:val="97F880E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0C818C3"/>
    <w:multiLevelType w:val="multilevel"/>
    <w:tmpl w:val="E7EABDF8"/>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3EBD15CF"/>
    <w:multiLevelType w:val="hybridMultilevel"/>
    <w:tmpl w:val="B4F0CBFA"/>
    <w:lvl w:ilvl="0" w:tplc="040C000F">
      <w:start w:val="1"/>
      <w:numFmt w:val="decimal"/>
      <w:lvlText w:val="%1."/>
      <w:lvlJc w:val="left"/>
      <w:pPr>
        <w:ind w:left="1074" w:hanging="360"/>
      </w:pPr>
      <w:rPr>
        <w:rFonts w:hint="default"/>
      </w:rPr>
    </w:lvl>
    <w:lvl w:ilvl="1" w:tplc="040C0003" w:tentative="1">
      <w:start w:val="1"/>
      <w:numFmt w:val="bullet"/>
      <w:lvlText w:val="o"/>
      <w:lvlJc w:val="left"/>
      <w:pPr>
        <w:ind w:left="1794" w:hanging="360"/>
      </w:pPr>
      <w:rPr>
        <w:rFonts w:ascii="Courier New" w:hAnsi="Courier New" w:cs="Courier New" w:hint="default"/>
      </w:rPr>
    </w:lvl>
    <w:lvl w:ilvl="2" w:tplc="040C0005" w:tentative="1">
      <w:start w:val="1"/>
      <w:numFmt w:val="bullet"/>
      <w:lvlText w:val=""/>
      <w:lvlJc w:val="left"/>
      <w:pPr>
        <w:ind w:left="2514" w:hanging="360"/>
      </w:pPr>
      <w:rPr>
        <w:rFonts w:ascii="Wingdings" w:hAnsi="Wingdings" w:hint="default"/>
      </w:rPr>
    </w:lvl>
    <w:lvl w:ilvl="3" w:tplc="040C0001" w:tentative="1">
      <w:start w:val="1"/>
      <w:numFmt w:val="bullet"/>
      <w:lvlText w:val=""/>
      <w:lvlJc w:val="left"/>
      <w:pPr>
        <w:ind w:left="3234" w:hanging="360"/>
      </w:pPr>
      <w:rPr>
        <w:rFonts w:ascii="Symbol" w:hAnsi="Symbol" w:hint="default"/>
      </w:rPr>
    </w:lvl>
    <w:lvl w:ilvl="4" w:tplc="040C0003" w:tentative="1">
      <w:start w:val="1"/>
      <w:numFmt w:val="bullet"/>
      <w:lvlText w:val="o"/>
      <w:lvlJc w:val="left"/>
      <w:pPr>
        <w:ind w:left="3954" w:hanging="360"/>
      </w:pPr>
      <w:rPr>
        <w:rFonts w:ascii="Courier New" w:hAnsi="Courier New" w:cs="Courier New" w:hint="default"/>
      </w:rPr>
    </w:lvl>
    <w:lvl w:ilvl="5" w:tplc="040C0005" w:tentative="1">
      <w:start w:val="1"/>
      <w:numFmt w:val="bullet"/>
      <w:lvlText w:val=""/>
      <w:lvlJc w:val="left"/>
      <w:pPr>
        <w:ind w:left="4674" w:hanging="360"/>
      </w:pPr>
      <w:rPr>
        <w:rFonts w:ascii="Wingdings" w:hAnsi="Wingdings" w:hint="default"/>
      </w:rPr>
    </w:lvl>
    <w:lvl w:ilvl="6" w:tplc="040C0001" w:tentative="1">
      <w:start w:val="1"/>
      <w:numFmt w:val="bullet"/>
      <w:lvlText w:val=""/>
      <w:lvlJc w:val="left"/>
      <w:pPr>
        <w:ind w:left="5394" w:hanging="360"/>
      </w:pPr>
      <w:rPr>
        <w:rFonts w:ascii="Symbol" w:hAnsi="Symbol" w:hint="default"/>
      </w:rPr>
    </w:lvl>
    <w:lvl w:ilvl="7" w:tplc="040C0003" w:tentative="1">
      <w:start w:val="1"/>
      <w:numFmt w:val="bullet"/>
      <w:lvlText w:val="o"/>
      <w:lvlJc w:val="left"/>
      <w:pPr>
        <w:ind w:left="6114" w:hanging="360"/>
      </w:pPr>
      <w:rPr>
        <w:rFonts w:ascii="Courier New" w:hAnsi="Courier New" w:cs="Courier New" w:hint="default"/>
      </w:rPr>
    </w:lvl>
    <w:lvl w:ilvl="8" w:tplc="040C0005" w:tentative="1">
      <w:start w:val="1"/>
      <w:numFmt w:val="bullet"/>
      <w:lvlText w:val=""/>
      <w:lvlJc w:val="left"/>
      <w:pPr>
        <w:ind w:left="6834" w:hanging="360"/>
      </w:pPr>
      <w:rPr>
        <w:rFonts w:ascii="Wingdings" w:hAnsi="Wingdings" w:hint="default"/>
      </w:rPr>
    </w:lvl>
  </w:abstractNum>
  <w:abstractNum w:abstractNumId="9" w15:restartNumberingAfterBreak="0">
    <w:nsid w:val="63963C5E"/>
    <w:multiLevelType w:val="hybridMultilevel"/>
    <w:tmpl w:val="B4A0FF2E"/>
    <w:lvl w:ilvl="0" w:tplc="70F2867C">
      <w:start w:val="1"/>
      <w:numFmt w:val="decimal"/>
      <w:suff w:val="space"/>
      <w:lvlText w:val="[%1]"/>
      <w:lvlJc w:val="left"/>
      <w:pPr>
        <w:ind w:left="0" w:firstLine="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8AC52D3"/>
    <w:multiLevelType w:val="hybridMultilevel"/>
    <w:tmpl w:val="583417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6EB902D9"/>
    <w:multiLevelType w:val="hybridMultilevel"/>
    <w:tmpl w:val="D81411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8"/>
  </w:num>
  <w:num w:numId="4">
    <w:abstractNumId w:val="1"/>
  </w:num>
  <w:num w:numId="5">
    <w:abstractNumId w:val="6"/>
  </w:num>
  <w:num w:numId="6">
    <w:abstractNumId w:val="3"/>
  </w:num>
  <w:num w:numId="7">
    <w:abstractNumId w:val="9"/>
  </w:num>
  <w:num w:numId="8">
    <w:abstractNumId w:val="7"/>
  </w:num>
  <w:num w:numId="9">
    <w:abstractNumId w:val="7"/>
  </w:num>
  <w:num w:numId="10">
    <w:abstractNumId w:val="7"/>
  </w:num>
  <w:num w:numId="11">
    <w:abstractNumId w:val="10"/>
  </w:num>
  <w:num w:numId="12">
    <w:abstractNumId w:val="4"/>
  </w:num>
  <w:num w:numId="13">
    <w:abstractNumId w:val="5"/>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C3C"/>
    <w:rsid w:val="000068A5"/>
    <w:rsid w:val="00026DF7"/>
    <w:rsid w:val="00043142"/>
    <w:rsid w:val="000450E4"/>
    <w:rsid w:val="00073D98"/>
    <w:rsid w:val="002908CD"/>
    <w:rsid w:val="002F6085"/>
    <w:rsid w:val="00362B5B"/>
    <w:rsid w:val="00400AA1"/>
    <w:rsid w:val="0042706A"/>
    <w:rsid w:val="00456D0C"/>
    <w:rsid w:val="004C0C3C"/>
    <w:rsid w:val="00517D39"/>
    <w:rsid w:val="005B3F53"/>
    <w:rsid w:val="00723E93"/>
    <w:rsid w:val="00844656"/>
    <w:rsid w:val="00853204"/>
    <w:rsid w:val="008D5001"/>
    <w:rsid w:val="009B792D"/>
    <w:rsid w:val="00A038E0"/>
    <w:rsid w:val="00AB6B7C"/>
    <w:rsid w:val="00AE0A5D"/>
    <w:rsid w:val="00B24E0D"/>
    <w:rsid w:val="00B276BF"/>
    <w:rsid w:val="00B35EF8"/>
    <w:rsid w:val="00BF396B"/>
    <w:rsid w:val="00C80CAB"/>
    <w:rsid w:val="00C917AF"/>
    <w:rsid w:val="00CA0A4F"/>
    <w:rsid w:val="00E016C3"/>
    <w:rsid w:val="00F1090D"/>
    <w:rsid w:val="00F1389C"/>
    <w:rsid w:val="00F809B3"/>
    <w:rsid w:val="00FE390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97CAD7"/>
  <w15:docId w15:val="{8446778D-36EB-472B-BD48-620C84455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A5D"/>
    <w:pPr>
      <w:suppressAutoHyphens/>
      <w:spacing w:before="120" w:after="120"/>
    </w:pPr>
    <w:rPr>
      <w:lang w:val="en-US" w:eastAsia="ar-SA"/>
    </w:rPr>
  </w:style>
  <w:style w:type="paragraph" w:styleId="Titre1">
    <w:name w:val="heading 1"/>
    <w:basedOn w:val="Normal"/>
    <w:next w:val="Normal"/>
    <w:link w:val="Titre1Car"/>
    <w:qFormat/>
    <w:rsid w:val="00AE0A5D"/>
    <w:pPr>
      <w:keepNext/>
      <w:numPr>
        <w:numId w:val="10"/>
      </w:numPr>
      <w:suppressAutoHyphens w:val="0"/>
      <w:spacing w:before="240"/>
      <w:ind w:right="567"/>
      <w:jc w:val="center"/>
      <w:outlineLvl w:val="0"/>
    </w:pPr>
    <w:rPr>
      <w:rFonts w:eastAsiaTheme="majorEastAsia" w:cstheme="majorBidi"/>
      <w:b/>
      <w:bCs/>
      <w:caps/>
      <w:szCs w:val="28"/>
      <w:lang w:val="fr-FR" w:eastAsia="en-US"/>
    </w:rPr>
  </w:style>
  <w:style w:type="paragraph" w:styleId="Titre2">
    <w:name w:val="heading 2"/>
    <w:basedOn w:val="Normal"/>
    <w:next w:val="Normal"/>
    <w:link w:val="Titre2Car"/>
    <w:qFormat/>
    <w:rsid w:val="00AE0A5D"/>
    <w:pPr>
      <w:keepNext/>
      <w:numPr>
        <w:ilvl w:val="1"/>
        <w:numId w:val="10"/>
      </w:numPr>
      <w:suppressAutoHyphens w:val="0"/>
      <w:spacing w:before="240"/>
      <w:ind w:right="142"/>
      <w:outlineLvl w:val="1"/>
    </w:pPr>
    <w:rPr>
      <w:rFonts w:eastAsiaTheme="minorHAnsi" w:cstheme="minorBidi"/>
      <w:b/>
      <w:bCs/>
      <w:lang w:val="fr-FR" w:eastAsia="en-US"/>
    </w:rPr>
  </w:style>
  <w:style w:type="paragraph" w:styleId="Titre3">
    <w:name w:val="heading 3"/>
    <w:basedOn w:val="Normal"/>
    <w:next w:val="Normal"/>
    <w:link w:val="Titre3Car"/>
    <w:qFormat/>
    <w:rsid w:val="00AB6B7C"/>
    <w:pPr>
      <w:keepNext/>
      <w:numPr>
        <w:ilvl w:val="2"/>
        <w:numId w:val="10"/>
      </w:numPr>
      <w:suppressAutoHyphens w:val="0"/>
      <w:spacing w:before="240"/>
      <w:ind w:right="567"/>
      <w:outlineLvl w:val="2"/>
    </w:pPr>
    <w:rPr>
      <w:rFonts w:eastAsiaTheme="minorHAnsi" w:cstheme="minorBidi"/>
      <w:bCs/>
      <w:szCs w:val="22"/>
      <w:lang w:val="fr-FR" w:eastAsia="en-US"/>
    </w:rPr>
  </w:style>
  <w:style w:type="paragraph" w:styleId="Titre4">
    <w:name w:val="heading 4"/>
    <w:basedOn w:val="Normal"/>
    <w:next w:val="Normal"/>
    <w:qFormat/>
    <w:pPr>
      <w:keepNext/>
      <w:numPr>
        <w:ilvl w:val="3"/>
        <w:numId w:val="10"/>
      </w:numPr>
      <w:jc w:val="center"/>
      <w:outlineLvl w:val="3"/>
    </w:pPr>
    <w:rPr>
      <w:b/>
      <w:caps/>
    </w:rPr>
  </w:style>
  <w:style w:type="paragraph" w:styleId="Titre5">
    <w:name w:val="heading 5"/>
    <w:basedOn w:val="Normal"/>
    <w:next w:val="Normal"/>
    <w:qFormat/>
    <w:pPr>
      <w:numPr>
        <w:ilvl w:val="4"/>
        <w:numId w:val="10"/>
      </w:numPr>
      <w:spacing w:before="240" w:after="60"/>
      <w:outlineLvl w:val="4"/>
    </w:pPr>
    <w:rPr>
      <w:b/>
      <w:bCs/>
      <w:i/>
      <w:iCs/>
      <w:sz w:val="26"/>
      <w:szCs w:val="26"/>
    </w:rPr>
  </w:style>
  <w:style w:type="paragraph" w:styleId="Titre6">
    <w:name w:val="heading 6"/>
    <w:basedOn w:val="Normal"/>
    <w:next w:val="Normal"/>
    <w:qFormat/>
    <w:pPr>
      <w:spacing w:before="240" w:after="60"/>
      <w:outlineLvl w:val="5"/>
    </w:pPr>
    <w:rPr>
      <w:b/>
      <w:bCs/>
      <w:sz w:val="22"/>
      <w:szCs w:val="22"/>
    </w:rPr>
  </w:style>
  <w:style w:type="paragraph" w:styleId="Titre7">
    <w:name w:val="heading 7"/>
    <w:basedOn w:val="Normal"/>
    <w:next w:val="Normal"/>
    <w:qFormat/>
    <w:pPr>
      <w:spacing w:before="240" w:after="60"/>
      <w:outlineLvl w:val="6"/>
    </w:pPr>
    <w:rPr>
      <w:szCs w:val="24"/>
    </w:rPr>
  </w:style>
  <w:style w:type="paragraph" w:styleId="Titre8">
    <w:name w:val="heading 8"/>
    <w:basedOn w:val="Normal"/>
    <w:next w:val="Normal"/>
    <w:qFormat/>
    <w:pPr>
      <w:spacing w:before="240" w:after="60"/>
      <w:outlineLvl w:val="7"/>
    </w:pPr>
    <w:rPr>
      <w:i/>
      <w:iCs/>
      <w:szCs w:val="24"/>
    </w:rPr>
  </w:style>
  <w:style w:type="paragraph" w:styleId="Titre9">
    <w:name w:val="heading 9"/>
    <w:basedOn w:val="Normal"/>
    <w:next w:val="Normal"/>
    <w:qFormat/>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styleId="Lienhypertexte">
    <w:name w:val="Hyperlink"/>
    <w:semiHidden/>
    <w:rPr>
      <w:color w:val="0000FF"/>
      <w:u w:val="single"/>
    </w:rPr>
  </w:style>
  <w:style w:type="character" w:styleId="Lienhypertextesuivivisit">
    <w:name w:val="FollowedHyperlink"/>
    <w:semiHidden/>
    <w:rPr>
      <w:color w:val="800080"/>
      <w:u w:val="single"/>
    </w:rPr>
  </w:style>
  <w:style w:type="paragraph" w:customStyle="1" w:styleId="Titre10">
    <w:name w:val="Titre1"/>
    <w:basedOn w:val="Normal"/>
    <w:next w:val="Corpsdetexte"/>
    <w:pPr>
      <w:keepNext/>
      <w:spacing w:before="240"/>
    </w:pPr>
    <w:rPr>
      <w:rFonts w:ascii="Bitstream Vera Sans" w:eastAsia="Bitstream Vera Sans" w:hAnsi="Bitstream Vera Sans" w:cs="Bitstream Vera Sans"/>
      <w:sz w:val="28"/>
      <w:szCs w:val="28"/>
    </w:rPr>
  </w:style>
  <w:style w:type="paragraph" w:styleId="Corpsdetexte">
    <w:name w:val="Body Text"/>
    <w:basedOn w:val="Normal"/>
    <w:semiHidden/>
    <w:pPr>
      <w:jc w:val="center"/>
    </w:pPr>
    <w:rPr>
      <w:b/>
      <w:caps/>
    </w:rPr>
  </w:style>
  <w:style w:type="paragraph" w:styleId="Liste">
    <w:name w:val="List"/>
    <w:basedOn w:val="Normal"/>
    <w:semiHidden/>
    <w:pPr>
      <w:ind w:left="360" w:hanging="360"/>
    </w:pPr>
  </w:style>
  <w:style w:type="paragraph" w:customStyle="1" w:styleId="Lgende1">
    <w:name w:val="Légende1"/>
    <w:basedOn w:val="Normal"/>
    <w:pPr>
      <w:suppressLineNumbers/>
    </w:pPr>
    <w:rPr>
      <w:i/>
      <w:iCs/>
      <w:szCs w:val="24"/>
    </w:rPr>
  </w:style>
  <w:style w:type="paragraph" w:customStyle="1" w:styleId="Rpertoire">
    <w:name w:val="Répertoire"/>
    <w:basedOn w:val="Normal"/>
    <w:pPr>
      <w:suppressLineNumbers/>
    </w:pPr>
  </w:style>
  <w:style w:type="paragraph" w:customStyle="1" w:styleId="ai1">
    <w:name w:val="ai1"/>
    <w:basedOn w:val="Normal"/>
    <w:pPr>
      <w:tabs>
        <w:tab w:val="right" w:leader="dot" w:pos="3960"/>
      </w:tabs>
    </w:pPr>
  </w:style>
  <w:style w:type="paragraph" w:customStyle="1" w:styleId="ai2">
    <w:name w:val="ai2"/>
    <w:basedOn w:val="Normal"/>
    <w:pPr>
      <w:tabs>
        <w:tab w:val="right" w:leader="dot" w:pos="3960"/>
      </w:tabs>
    </w:pPr>
  </w:style>
  <w:style w:type="paragraph" w:customStyle="1" w:styleId="ArticleTitle">
    <w:name w:val="Article Title"/>
    <w:basedOn w:val="Normal"/>
    <w:pPr>
      <w:spacing w:before="60"/>
      <w:ind w:left="360"/>
    </w:pPr>
    <w:rPr>
      <w:sz w:val="21"/>
    </w:rPr>
  </w:style>
  <w:style w:type="paragraph" w:customStyle="1" w:styleId="Author">
    <w:name w:val="Author"/>
    <w:basedOn w:val="Normal"/>
    <w:pPr>
      <w:tabs>
        <w:tab w:val="right" w:leader="dot" w:pos="9360"/>
      </w:tabs>
      <w:ind w:firstLine="720"/>
    </w:pPr>
    <w:rPr>
      <w:i/>
      <w:sz w:val="21"/>
    </w:rPr>
  </w:style>
  <w:style w:type="paragraph" w:styleId="En-tte">
    <w:name w:val="header"/>
    <w:basedOn w:val="Normal"/>
    <w:semiHidden/>
    <w:pPr>
      <w:tabs>
        <w:tab w:val="center" w:pos="4320"/>
        <w:tab w:val="right" w:pos="8640"/>
      </w:tabs>
    </w:pPr>
  </w:style>
  <w:style w:type="paragraph" w:customStyle="1" w:styleId="Numrodepage1">
    <w:name w:val="Numéro de page1"/>
    <w:basedOn w:val="Normal"/>
    <w:pPr>
      <w:jc w:val="center"/>
    </w:pPr>
    <w:rPr>
      <w:rFonts w:ascii="Times" w:hAnsi="Times"/>
    </w:rPr>
  </w:style>
  <w:style w:type="paragraph" w:styleId="Titre">
    <w:name w:val="Title"/>
    <w:basedOn w:val="Normal"/>
    <w:next w:val="Sous-titre"/>
    <w:qFormat/>
    <w:pPr>
      <w:jc w:val="center"/>
    </w:pPr>
    <w:rPr>
      <w:rFonts w:ascii="Britannic Bold" w:hAnsi="Britannic Bold"/>
      <w:b/>
      <w:kern w:val="1"/>
      <w:sz w:val="36"/>
    </w:rPr>
  </w:style>
  <w:style w:type="paragraph" w:styleId="Sous-titre">
    <w:name w:val="Subtitle"/>
    <w:basedOn w:val="Normal"/>
    <w:next w:val="Corpsdetexte"/>
    <w:qFormat/>
    <w:pPr>
      <w:spacing w:after="60"/>
      <w:jc w:val="center"/>
    </w:pPr>
    <w:rPr>
      <w:rFonts w:ascii="Arial" w:hAnsi="Arial" w:cs="Arial"/>
      <w:szCs w:val="24"/>
    </w:rPr>
  </w:style>
  <w:style w:type="paragraph" w:styleId="Retraitcorpsdetexte">
    <w:name w:val="Body Text Indent"/>
    <w:basedOn w:val="Normal"/>
    <w:semiHidden/>
    <w:pPr>
      <w:ind w:firstLine="245"/>
      <w:jc w:val="both"/>
    </w:pPr>
    <w:rPr>
      <w:i/>
    </w:rPr>
  </w:style>
  <w:style w:type="paragraph" w:styleId="Retraitcorpsdetexte2">
    <w:name w:val="Body Text Indent 2"/>
    <w:basedOn w:val="Normal"/>
    <w:pPr>
      <w:ind w:firstLine="245"/>
      <w:jc w:val="both"/>
    </w:pPr>
  </w:style>
  <w:style w:type="paragraph" w:styleId="Retraitcorpsdetexte3">
    <w:name w:val="Body Text Indent 3"/>
    <w:basedOn w:val="Normal"/>
    <w:pPr>
      <w:ind w:firstLine="270"/>
      <w:jc w:val="both"/>
    </w:pPr>
  </w:style>
  <w:style w:type="paragraph" w:styleId="Normalcentr">
    <w:name w:val="Block Text"/>
    <w:basedOn w:val="Normal"/>
    <w:pPr>
      <w:ind w:left="1440" w:right="1440"/>
    </w:pPr>
  </w:style>
  <w:style w:type="paragraph" w:styleId="Corpsdetexte2">
    <w:name w:val="Body Text 2"/>
    <w:basedOn w:val="Normal"/>
    <w:pPr>
      <w:spacing w:line="480" w:lineRule="auto"/>
    </w:pPr>
  </w:style>
  <w:style w:type="paragraph" w:styleId="Corpsdetexte3">
    <w:name w:val="Body Text 3"/>
    <w:basedOn w:val="Normal"/>
    <w:rPr>
      <w:sz w:val="16"/>
      <w:szCs w:val="16"/>
    </w:rPr>
  </w:style>
  <w:style w:type="paragraph" w:styleId="Retrait1religne">
    <w:name w:val="Body Text First Indent"/>
    <w:basedOn w:val="Corpsdetexte"/>
    <w:pPr>
      <w:ind w:firstLine="210"/>
      <w:jc w:val="left"/>
    </w:pPr>
    <w:rPr>
      <w:b w:val="0"/>
      <w:caps w:val="0"/>
    </w:rPr>
  </w:style>
  <w:style w:type="paragraph" w:styleId="Retraitcorpset1relig">
    <w:name w:val="Body Text First Indent 2"/>
    <w:basedOn w:val="Retraitcorpsdetexte"/>
    <w:pPr>
      <w:ind w:left="360" w:firstLine="210"/>
      <w:jc w:val="left"/>
    </w:pPr>
    <w:rPr>
      <w:i w:val="0"/>
      <w:sz w:val="24"/>
    </w:rPr>
  </w:style>
  <w:style w:type="paragraph" w:styleId="Lgende">
    <w:name w:val="caption"/>
    <w:basedOn w:val="Normal"/>
    <w:next w:val="Normal"/>
    <w:uiPriority w:val="35"/>
    <w:qFormat/>
    <w:rPr>
      <w:b/>
      <w:bCs/>
    </w:rPr>
  </w:style>
  <w:style w:type="paragraph" w:styleId="Formuledepolitesse">
    <w:name w:val="Closing"/>
    <w:basedOn w:val="Normal"/>
    <w:pPr>
      <w:ind w:left="4320"/>
    </w:pPr>
  </w:style>
  <w:style w:type="paragraph" w:styleId="Commentaire">
    <w:name w:val="annotation text"/>
    <w:basedOn w:val="Normal"/>
  </w:style>
  <w:style w:type="paragraph" w:styleId="Date">
    <w:name w:val="Date"/>
    <w:basedOn w:val="Normal"/>
    <w:next w:val="Normal"/>
  </w:style>
  <w:style w:type="paragraph" w:styleId="Explorateurdedocuments">
    <w:name w:val="Document Map"/>
    <w:basedOn w:val="Normal"/>
    <w:pPr>
      <w:shd w:val="clear" w:color="auto" w:fill="000080"/>
    </w:pPr>
    <w:rPr>
      <w:rFonts w:ascii="Tahoma" w:hAnsi="Tahoma" w:cs="Tahoma"/>
    </w:rPr>
  </w:style>
  <w:style w:type="paragraph" w:styleId="Signaturelectronique">
    <w:name w:val="E-mail Signature"/>
    <w:basedOn w:val="Normal"/>
  </w:style>
  <w:style w:type="paragraph" w:styleId="Notedefin">
    <w:name w:val="endnote text"/>
    <w:basedOn w:val="Normal"/>
    <w:semiHidden/>
  </w:style>
  <w:style w:type="paragraph" w:styleId="Adressedestinataire">
    <w:name w:val="envelope address"/>
    <w:basedOn w:val="Normal"/>
    <w:semiHidden/>
    <w:pPr>
      <w:ind w:left="2880"/>
    </w:pPr>
    <w:rPr>
      <w:rFonts w:ascii="Arial" w:hAnsi="Arial" w:cs="Arial"/>
      <w:szCs w:val="24"/>
    </w:rPr>
  </w:style>
  <w:style w:type="paragraph" w:styleId="Adresseexpditeur">
    <w:name w:val="envelope return"/>
    <w:basedOn w:val="Normal"/>
    <w:semiHidden/>
    <w:rPr>
      <w:rFonts w:ascii="Arial" w:hAnsi="Arial" w:cs="Arial"/>
    </w:rPr>
  </w:style>
  <w:style w:type="paragraph" w:styleId="Pieddepage">
    <w:name w:val="footer"/>
    <w:basedOn w:val="Normal"/>
    <w:semiHidden/>
    <w:pPr>
      <w:tabs>
        <w:tab w:val="center" w:pos="4320"/>
        <w:tab w:val="right" w:pos="8640"/>
      </w:tabs>
    </w:pPr>
  </w:style>
  <w:style w:type="paragraph" w:styleId="Notedebasdepage">
    <w:name w:val="footnote text"/>
    <w:basedOn w:val="Normal"/>
    <w:semiHidden/>
  </w:style>
  <w:style w:type="paragraph" w:styleId="AdresseHTML">
    <w:name w:val="HTML Address"/>
    <w:basedOn w:val="Normal"/>
    <w:rPr>
      <w:i/>
      <w:iCs/>
    </w:rPr>
  </w:style>
  <w:style w:type="paragraph" w:styleId="PrformatHTML">
    <w:name w:val="HTML Preformatted"/>
    <w:basedOn w:val="Normal"/>
    <w:rPr>
      <w:rFonts w:ascii="Courier New" w:hAnsi="Courier New" w:cs="Courier New"/>
    </w:rPr>
  </w:style>
  <w:style w:type="paragraph" w:styleId="Index1">
    <w:name w:val="index 1"/>
    <w:basedOn w:val="Normal"/>
    <w:next w:val="Normal"/>
    <w:semiHidden/>
    <w:pPr>
      <w:ind w:left="240" w:hanging="240"/>
    </w:pPr>
  </w:style>
  <w:style w:type="paragraph" w:styleId="Index2">
    <w:name w:val="index 2"/>
    <w:basedOn w:val="Normal"/>
    <w:next w:val="Normal"/>
    <w:semiHidden/>
    <w:pPr>
      <w:ind w:left="480" w:hanging="240"/>
    </w:pPr>
  </w:style>
  <w:style w:type="paragraph" w:styleId="Index3">
    <w:name w:val="index 3"/>
    <w:basedOn w:val="Normal"/>
    <w:next w:val="Normal"/>
    <w:semiHidden/>
    <w:pPr>
      <w:ind w:left="720" w:hanging="240"/>
    </w:pPr>
  </w:style>
  <w:style w:type="paragraph" w:styleId="Index4">
    <w:name w:val="index 4"/>
    <w:basedOn w:val="Normal"/>
    <w:next w:val="Normal"/>
    <w:pPr>
      <w:ind w:left="960" w:hanging="240"/>
    </w:pPr>
  </w:style>
  <w:style w:type="paragraph" w:styleId="Index5">
    <w:name w:val="index 5"/>
    <w:basedOn w:val="Normal"/>
    <w:next w:val="Normal"/>
    <w:pPr>
      <w:ind w:left="1200" w:hanging="240"/>
    </w:pPr>
  </w:style>
  <w:style w:type="paragraph" w:styleId="Index6">
    <w:name w:val="index 6"/>
    <w:basedOn w:val="Normal"/>
    <w:next w:val="Normal"/>
    <w:pPr>
      <w:ind w:left="1440" w:hanging="240"/>
    </w:pPr>
  </w:style>
  <w:style w:type="paragraph" w:styleId="Index7">
    <w:name w:val="index 7"/>
    <w:basedOn w:val="Normal"/>
    <w:next w:val="Normal"/>
    <w:pPr>
      <w:ind w:left="1680" w:hanging="240"/>
    </w:pPr>
  </w:style>
  <w:style w:type="paragraph" w:styleId="Index8">
    <w:name w:val="index 8"/>
    <w:basedOn w:val="Normal"/>
    <w:next w:val="Normal"/>
    <w:pPr>
      <w:ind w:left="1920" w:hanging="240"/>
    </w:pPr>
  </w:style>
  <w:style w:type="paragraph" w:styleId="Index9">
    <w:name w:val="index 9"/>
    <w:basedOn w:val="Normal"/>
    <w:next w:val="Normal"/>
    <w:pPr>
      <w:ind w:left="2160" w:hanging="240"/>
    </w:pPr>
  </w:style>
  <w:style w:type="paragraph" w:styleId="Titreindex">
    <w:name w:val="index heading"/>
    <w:basedOn w:val="Normal"/>
    <w:next w:val="Index1"/>
    <w:semiHidden/>
    <w:rPr>
      <w:rFonts w:ascii="Arial" w:hAnsi="Arial" w:cs="Arial"/>
      <w:b/>
      <w:bCs/>
    </w:rPr>
  </w:style>
  <w:style w:type="paragraph" w:styleId="Liste2">
    <w:name w:val="List 2"/>
    <w:basedOn w:val="Normal"/>
    <w:pPr>
      <w:ind w:left="720" w:hanging="360"/>
    </w:pPr>
  </w:style>
  <w:style w:type="paragraph" w:styleId="Liste3">
    <w:name w:val="List 3"/>
    <w:basedOn w:val="Normal"/>
    <w:pPr>
      <w:ind w:left="1080" w:hanging="360"/>
    </w:pPr>
  </w:style>
  <w:style w:type="paragraph" w:styleId="Liste4">
    <w:name w:val="List 4"/>
    <w:basedOn w:val="Normal"/>
    <w:pPr>
      <w:ind w:left="1440" w:hanging="360"/>
    </w:pPr>
  </w:style>
  <w:style w:type="paragraph" w:styleId="Liste5">
    <w:name w:val="List 5"/>
    <w:basedOn w:val="Normal"/>
    <w:pPr>
      <w:ind w:left="1800" w:hanging="360"/>
    </w:pPr>
  </w:style>
  <w:style w:type="paragraph" w:styleId="Listepuces">
    <w:name w:val="List Bullet"/>
    <w:basedOn w:val="Normal"/>
  </w:style>
  <w:style w:type="paragraph" w:styleId="Listepuces2">
    <w:name w:val="List Bullet 2"/>
    <w:basedOn w:val="Normal"/>
  </w:style>
  <w:style w:type="paragraph" w:styleId="Listepuces3">
    <w:name w:val="List Bullet 3"/>
    <w:basedOn w:val="Normal"/>
  </w:style>
  <w:style w:type="paragraph" w:styleId="Listepuces4">
    <w:name w:val="List Bullet 4"/>
    <w:basedOn w:val="Normal"/>
  </w:style>
  <w:style w:type="paragraph" w:styleId="Listepuces5">
    <w:name w:val="List Bullet 5"/>
    <w:basedOn w:val="Normal"/>
  </w:style>
  <w:style w:type="paragraph" w:styleId="Listecontinue">
    <w:name w:val="List Continue"/>
    <w:basedOn w:val="Normal"/>
    <w:pPr>
      <w:ind w:left="360"/>
    </w:pPr>
  </w:style>
  <w:style w:type="paragraph" w:styleId="Listecontinue2">
    <w:name w:val="List Continue 2"/>
    <w:basedOn w:val="Normal"/>
    <w:pPr>
      <w:ind w:left="720"/>
    </w:pPr>
  </w:style>
  <w:style w:type="paragraph" w:styleId="Listecontinue3">
    <w:name w:val="List Continue 3"/>
    <w:basedOn w:val="Normal"/>
    <w:pPr>
      <w:ind w:left="1080"/>
    </w:pPr>
  </w:style>
  <w:style w:type="paragraph" w:styleId="Listecontinue4">
    <w:name w:val="List Continue 4"/>
    <w:basedOn w:val="Normal"/>
    <w:pPr>
      <w:ind w:left="1440"/>
    </w:pPr>
  </w:style>
  <w:style w:type="paragraph" w:styleId="Listecontinue5">
    <w:name w:val="List Continue 5"/>
    <w:basedOn w:val="Normal"/>
    <w:pPr>
      <w:ind w:left="1800"/>
    </w:pPr>
  </w:style>
  <w:style w:type="paragraph" w:styleId="Listenumros">
    <w:name w:val="List Number"/>
    <w:basedOn w:val="Normal"/>
  </w:style>
  <w:style w:type="paragraph" w:styleId="Listenumros2">
    <w:name w:val="List Number 2"/>
    <w:basedOn w:val="Normal"/>
  </w:style>
  <w:style w:type="paragraph" w:styleId="Listenumros3">
    <w:name w:val="List Number 3"/>
    <w:basedOn w:val="Normal"/>
  </w:style>
  <w:style w:type="paragraph" w:styleId="Listenumros4">
    <w:name w:val="List Number 4"/>
    <w:basedOn w:val="Normal"/>
  </w:style>
  <w:style w:type="paragraph" w:styleId="Listenumros5">
    <w:name w:val="List Number 5"/>
    <w:basedOn w:val="Normal"/>
  </w:style>
  <w:style w:type="paragraph" w:styleId="Textedemacro">
    <w:name w:val="macro"/>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eastAsia="Arial" w:hAnsi="Courier New" w:cs="Courier New"/>
      <w:lang w:val="en-US" w:eastAsia="ar-SA"/>
    </w:rPr>
  </w:style>
  <w:style w:type="paragraph" w:styleId="En-ttedemessage">
    <w:name w:val="Message Header"/>
    <w:basedOn w:val="Normal"/>
    <w:pPr>
      <w:pBdr>
        <w:top w:val="single" w:sz="4" w:space="1" w:color="000000"/>
        <w:left w:val="single" w:sz="4" w:space="1" w:color="000000"/>
        <w:bottom w:val="single" w:sz="4" w:space="1" w:color="000000"/>
        <w:right w:val="single" w:sz="4" w:space="1" w:color="000000"/>
      </w:pBdr>
      <w:shd w:val="clear" w:color="auto" w:fill="CCCCCC"/>
      <w:ind w:left="1080" w:hanging="1080"/>
    </w:pPr>
    <w:rPr>
      <w:rFonts w:ascii="Arial" w:hAnsi="Arial" w:cs="Arial"/>
      <w:szCs w:val="24"/>
    </w:rPr>
  </w:style>
  <w:style w:type="paragraph" w:styleId="NormalWeb">
    <w:name w:val="Normal (Web)"/>
    <w:basedOn w:val="Normal"/>
    <w:rPr>
      <w:szCs w:val="24"/>
    </w:rPr>
  </w:style>
  <w:style w:type="paragraph" w:styleId="Retraitnormal">
    <w:name w:val="Normal Indent"/>
    <w:basedOn w:val="Normal"/>
    <w:pPr>
      <w:ind w:left="720"/>
    </w:pPr>
  </w:style>
  <w:style w:type="paragraph" w:styleId="Titredenote">
    <w:name w:val="Note Heading"/>
    <w:basedOn w:val="Normal"/>
    <w:next w:val="Normal"/>
  </w:style>
  <w:style w:type="paragraph" w:styleId="Textebrut">
    <w:name w:val="Plain Text"/>
    <w:basedOn w:val="Normal"/>
    <w:rPr>
      <w:rFonts w:ascii="Courier New" w:hAnsi="Courier New" w:cs="Courier New"/>
    </w:rPr>
  </w:style>
  <w:style w:type="paragraph" w:styleId="Salutations">
    <w:name w:val="Salutation"/>
    <w:basedOn w:val="Normal"/>
    <w:next w:val="Normal"/>
  </w:style>
  <w:style w:type="paragraph" w:styleId="Signature">
    <w:name w:val="Signature"/>
    <w:basedOn w:val="Normal"/>
    <w:semiHidden/>
    <w:pPr>
      <w:ind w:left="4320"/>
    </w:pPr>
  </w:style>
  <w:style w:type="paragraph" w:styleId="Tabledesrfrencesjuridiques">
    <w:name w:val="table of authorities"/>
    <w:basedOn w:val="Normal"/>
    <w:next w:val="Normal"/>
    <w:pPr>
      <w:ind w:left="240" w:hanging="240"/>
    </w:pPr>
  </w:style>
  <w:style w:type="paragraph" w:styleId="Tabledesillustrations">
    <w:name w:val="table of figures"/>
    <w:basedOn w:val="Normal"/>
    <w:next w:val="Normal"/>
    <w:pPr>
      <w:ind w:left="480" w:hanging="480"/>
    </w:pPr>
  </w:style>
  <w:style w:type="paragraph" w:styleId="TitreTR">
    <w:name w:val="toa heading"/>
    <w:basedOn w:val="Normal"/>
    <w:next w:val="Normal"/>
    <w:rPr>
      <w:rFonts w:ascii="Arial" w:hAnsi="Arial" w:cs="Arial"/>
      <w:b/>
      <w:bCs/>
      <w:szCs w:val="24"/>
    </w:rPr>
  </w:style>
  <w:style w:type="paragraph" w:styleId="TM1">
    <w:name w:val="toc 1"/>
    <w:basedOn w:val="Normal"/>
    <w:next w:val="Normal"/>
    <w:semiHidden/>
  </w:style>
  <w:style w:type="paragraph" w:styleId="TM2">
    <w:name w:val="toc 2"/>
    <w:basedOn w:val="Normal"/>
    <w:next w:val="Normal"/>
    <w:semiHidden/>
    <w:pPr>
      <w:ind w:left="240"/>
    </w:pPr>
  </w:style>
  <w:style w:type="paragraph" w:styleId="TM3">
    <w:name w:val="toc 3"/>
    <w:basedOn w:val="Normal"/>
    <w:next w:val="Normal"/>
    <w:semiHidden/>
    <w:pPr>
      <w:ind w:left="480"/>
    </w:pPr>
  </w:style>
  <w:style w:type="paragraph" w:styleId="TM4">
    <w:name w:val="toc 4"/>
    <w:basedOn w:val="Normal"/>
    <w:next w:val="Normal"/>
    <w:semiHidden/>
    <w:pPr>
      <w:ind w:left="720"/>
    </w:pPr>
  </w:style>
  <w:style w:type="paragraph" w:styleId="TM5">
    <w:name w:val="toc 5"/>
    <w:basedOn w:val="Normal"/>
    <w:next w:val="Normal"/>
    <w:semiHidden/>
    <w:pPr>
      <w:ind w:left="960"/>
    </w:pPr>
  </w:style>
  <w:style w:type="paragraph" w:styleId="TM6">
    <w:name w:val="toc 6"/>
    <w:basedOn w:val="Normal"/>
    <w:next w:val="Normal"/>
    <w:semiHidden/>
    <w:pPr>
      <w:ind w:left="1200"/>
    </w:pPr>
  </w:style>
  <w:style w:type="paragraph" w:styleId="TM7">
    <w:name w:val="toc 7"/>
    <w:basedOn w:val="Normal"/>
    <w:next w:val="Normal"/>
    <w:semiHidden/>
    <w:pPr>
      <w:ind w:left="1440"/>
    </w:pPr>
  </w:style>
  <w:style w:type="paragraph" w:styleId="TM8">
    <w:name w:val="toc 8"/>
    <w:basedOn w:val="Normal"/>
    <w:next w:val="Normal"/>
    <w:semiHidden/>
    <w:pPr>
      <w:ind w:left="1680"/>
    </w:pPr>
  </w:style>
  <w:style w:type="paragraph" w:styleId="TM9">
    <w:name w:val="toc 9"/>
    <w:basedOn w:val="Normal"/>
    <w:next w:val="Normal"/>
    <w:semiHidden/>
    <w:pPr>
      <w:ind w:left="1920"/>
    </w:pPr>
  </w:style>
  <w:style w:type="paragraph" w:styleId="Paragraphedeliste">
    <w:name w:val="List Paragraph"/>
    <w:basedOn w:val="Normal"/>
    <w:uiPriority w:val="34"/>
    <w:qFormat/>
    <w:rsid w:val="00AE0A5D"/>
    <w:pPr>
      <w:ind w:left="720"/>
      <w:contextualSpacing/>
    </w:pPr>
  </w:style>
  <w:style w:type="character" w:customStyle="1" w:styleId="Titre1Car">
    <w:name w:val="Titre 1 Car"/>
    <w:basedOn w:val="Policepardfaut"/>
    <w:link w:val="Titre1"/>
    <w:rsid w:val="00AE0A5D"/>
    <w:rPr>
      <w:rFonts w:eastAsiaTheme="majorEastAsia" w:cstheme="majorBidi"/>
      <w:b/>
      <w:bCs/>
      <w:caps/>
      <w:szCs w:val="28"/>
      <w:lang w:val="fr-FR" w:eastAsia="en-US"/>
    </w:rPr>
  </w:style>
  <w:style w:type="character" w:customStyle="1" w:styleId="Titre2Car">
    <w:name w:val="Titre 2 Car"/>
    <w:basedOn w:val="Policepardfaut"/>
    <w:link w:val="Titre2"/>
    <w:rsid w:val="00AE0A5D"/>
    <w:rPr>
      <w:rFonts w:eastAsiaTheme="minorHAnsi" w:cstheme="minorBidi"/>
      <w:b/>
      <w:bCs/>
      <w:lang w:val="fr-FR" w:eastAsia="en-US"/>
    </w:rPr>
  </w:style>
  <w:style w:type="character" w:customStyle="1" w:styleId="Titre3Car">
    <w:name w:val="Titre 3 Car"/>
    <w:basedOn w:val="Policepardfaut"/>
    <w:link w:val="Titre3"/>
    <w:rsid w:val="00AB6B7C"/>
    <w:rPr>
      <w:rFonts w:eastAsiaTheme="minorHAnsi" w:cstheme="minorBidi"/>
      <w:bCs/>
      <w:szCs w:val="22"/>
      <w:lang w:val="fr-FR" w:eastAsia="en-US"/>
    </w:rPr>
  </w:style>
  <w:style w:type="paragraph" w:styleId="Textedebulles">
    <w:name w:val="Balloon Text"/>
    <w:basedOn w:val="Normal"/>
    <w:link w:val="TextedebullesCar"/>
    <w:uiPriority w:val="99"/>
    <w:semiHidden/>
    <w:unhideWhenUsed/>
    <w:rsid w:val="00C917AF"/>
    <w:pPr>
      <w:spacing w:before="0"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917AF"/>
    <w:rPr>
      <w:rFonts w:ascii="Segoe UI" w:hAnsi="Segoe UI" w:cs="Segoe UI"/>
      <w:sz w:val="18"/>
      <w:szCs w:val="18"/>
      <w:lang w:val="en-US" w:eastAsia="ar-SA"/>
    </w:rPr>
  </w:style>
  <w:style w:type="paragraph" w:customStyle="1" w:styleId="Default">
    <w:name w:val="Default"/>
    <w:rsid w:val="00043142"/>
    <w:pPr>
      <w:autoSpaceDE w:val="0"/>
      <w:autoSpaceDN w:val="0"/>
      <w:adjustRightInd w:val="0"/>
    </w:pPr>
    <w:rPr>
      <w:color w:val="000000"/>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561936">
      <w:bodyDiv w:val="1"/>
      <w:marLeft w:val="0"/>
      <w:marRight w:val="0"/>
      <w:marTop w:val="0"/>
      <w:marBottom w:val="0"/>
      <w:divBdr>
        <w:top w:val="none" w:sz="0" w:space="0" w:color="auto"/>
        <w:left w:val="none" w:sz="0" w:space="0" w:color="auto"/>
        <w:bottom w:val="none" w:sz="0" w:space="0" w:color="auto"/>
        <w:right w:val="none" w:sz="0" w:space="0" w:color="auto"/>
      </w:divBdr>
    </w:div>
    <w:div w:id="201555589">
      <w:bodyDiv w:val="1"/>
      <w:marLeft w:val="0"/>
      <w:marRight w:val="0"/>
      <w:marTop w:val="0"/>
      <w:marBottom w:val="0"/>
      <w:divBdr>
        <w:top w:val="none" w:sz="0" w:space="0" w:color="auto"/>
        <w:left w:val="none" w:sz="0" w:space="0" w:color="auto"/>
        <w:bottom w:val="none" w:sz="0" w:space="0" w:color="auto"/>
        <w:right w:val="none" w:sz="0" w:space="0" w:color="auto"/>
      </w:divBdr>
    </w:div>
    <w:div w:id="417557152">
      <w:bodyDiv w:val="1"/>
      <w:marLeft w:val="0"/>
      <w:marRight w:val="0"/>
      <w:marTop w:val="0"/>
      <w:marBottom w:val="0"/>
      <w:divBdr>
        <w:top w:val="none" w:sz="0" w:space="0" w:color="auto"/>
        <w:left w:val="none" w:sz="0" w:space="0" w:color="auto"/>
        <w:bottom w:val="none" w:sz="0" w:space="0" w:color="auto"/>
        <w:right w:val="none" w:sz="0" w:space="0" w:color="auto"/>
      </w:divBdr>
    </w:div>
    <w:div w:id="475877060">
      <w:bodyDiv w:val="1"/>
      <w:marLeft w:val="0"/>
      <w:marRight w:val="0"/>
      <w:marTop w:val="0"/>
      <w:marBottom w:val="0"/>
      <w:divBdr>
        <w:top w:val="none" w:sz="0" w:space="0" w:color="auto"/>
        <w:left w:val="none" w:sz="0" w:space="0" w:color="auto"/>
        <w:bottom w:val="none" w:sz="0" w:space="0" w:color="auto"/>
        <w:right w:val="none" w:sz="0" w:space="0" w:color="auto"/>
      </w:divBdr>
    </w:div>
    <w:div w:id="493424423">
      <w:bodyDiv w:val="1"/>
      <w:marLeft w:val="0"/>
      <w:marRight w:val="0"/>
      <w:marTop w:val="0"/>
      <w:marBottom w:val="0"/>
      <w:divBdr>
        <w:top w:val="none" w:sz="0" w:space="0" w:color="auto"/>
        <w:left w:val="none" w:sz="0" w:space="0" w:color="auto"/>
        <w:bottom w:val="none" w:sz="0" w:space="0" w:color="auto"/>
        <w:right w:val="none" w:sz="0" w:space="0" w:color="auto"/>
      </w:divBdr>
    </w:div>
    <w:div w:id="518473870">
      <w:bodyDiv w:val="1"/>
      <w:marLeft w:val="0"/>
      <w:marRight w:val="0"/>
      <w:marTop w:val="0"/>
      <w:marBottom w:val="0"/>
      <w:divBdr>
        <w:top w:val="none" w:sz="0" w:space="0" w:color="auto"/>
        <w:left w:val="none" w:sz="0" w:space="0" w:color="auto"/>
        <w:bottom w:val="none" w:sz="0" w:space="0" w:color="auto"/>
        <w:right w:val="none" w:sz="0" w:space="0" w:color="auto"/>
      </w:divBdr>
    </w:div>
    <w:div w:id="578363940">
      <w:bodyDiv w:val="1"/>
      <w:marLeft w:val="0"/>
      <w:marRight w:val="0"/>
      <w:marTop w:val="0"/>
      <w:marBottom w:val="0"/>
      <w:divBdr>
        <w:top w:val="none" w:sz="0" w:space="0" w:color="auto"/>
        <w:left w:val="none" w:sz="0" w:space="0" w:color="auto"/>
        <w:bottom w:val="none" w:sz="0" w:space="0" w:color="auto"/>
        <w:right w:val="none" w:sz="0" w:space="0" w:color="auto"/>
      </w:divBdr>
    </w:div>
    <w:div w:id="707486949">
      <w:bodyDiv w:val="1"/>
      <w:marLeft w:val="0"/>
      <w:marRight w:val="0"/>
      <w:marTop w:val="0"/>
      <w:marBottom w:val="0"/>
      <w:divBdr>
        <w:top w:val="none" w:sz="0" w:space="0" w:color="auto"/>
        <w:left w:val="none" w:sz="0" w:space="0" w:color="auto"/>
        <w:bottom w:val="none" w:sz="0" w:space="0" w:color="auto"/>
        <w:right w:val="none" w:sz="0" w:space="0" w:color="auto"/>
      </w:divBdr>
    </w:div>
    <w:div w:id="714425662">
      <w:bodyDiv w:val="1"/>
      <w:marLeft w:val="0"/>
      <w:marRight w:val="0"/>
      <w:marTop w:val="0"/>
      <w:marBottom w:val="0"/>
      <w:divBdr>
        <w:top w:val="none" w:sz="0" w:space="0" w:color="auto"/>
        <w:left w:val="none" w:sz="0" w:space="0" w:color="auto"/>
        <w:bottom w:val="none" w:sz="0" w:space="0" w:color="auto"/>
        <w:right w:val="none" w:sz="0" w:space="0" w:color="auto"/>
      </w:divBdr>
    </w:div>
    <w:div w:id="770858300">
      <w:bodyDiv w:val="1"/>
      <w:marLeft w:val="0"/>
      <w:marRight w:val="0"/>
      <w:marTop w:val="0"/>
      <w:marBottom w:val="0"/>
      <w:divBdr>
        <w:top w:val="none" w:sz="0" w:space="0" w:color="auto"/>
        <w:left w:val="none" w:sz="0" w:space="0" w:color="auto"/>
        <w:bottom w:val="none" w:sz="0" w:space="0" w:color="auto"/>
        <w:right w:val="none" w:sz="0" w:space="0" w:color="auto"/>
      </w:divBdr>
    </w:div>
    <w:div w:id="824319214">
      <w:bodyDiv w:val="1"/>
      <w:marLeft w:val="0"/>
      <w:marRight w:val="0"/>
      <w:marTop w:val="0"/>
      <w:marBottom w:val="0"/>
      <w:divBdr>
        <w:top w:val="none" w:sz="0" w:space="0" w:color="auto"/>
        <w:left w:val="none" w:sz="0" w:space="0" w:color="auto"/>
        <w:bottom w:val="none" w:sz="0" w:space="0" w:color="auto"/>
        <w:right w:val="none" w:sz="0" w:space="0" w:color="auto"/>
      </w:divBdr>
    </w:div>
    <w:div w:id="960956644">
      <w:bodyDiv w:val="1"/>
      <w:marLeft w:val="0"/>
      <w:marRight w:val="0"/>
      <w:marTop w:val="0"/>
      <w:marBottom w:val="0"/>
      <w:divBdr>
        <w:top w:val="none" w:sz="0" w:space="0" w:color="auto"/>
        <w:left w:val="none" w:sz="0" w:space="0" w:color="auto"/>
        <w:bottom w:val="none" w:sz="0" w:space="0" w:color="auto"/>
        <w:right w:val="none" w:sz="0" w:space="0" w:color="auto"/>
      </w:divBdr>
    </w:div>
    <w:div w:id="1010327805">
      <w:bodyDiv w:val="1"/>
      <w:marLeft w:val="0"/>
      <w:marRight w:val="0"/>
      <w:marTop w:val="0"/>
      <w:marBottom w:val="0"/>
      <w:divBdr>
        <w:top w:val="none" w:sz="0" w:space="0" w:color="auto"/>
        <w:left w:val="none" w:sz="0" w:space="0" w:color="auto"/>
        <w:bottom w:val="none" w:sz="0" w:space="0" w:color="auto"/>
        <w:right w:val="none" w:sz="0" w:space="0" w:color="auto"/>
      </w:divBdr>
    </w:div>
    <w:div w:id="1222909966">
      <w:bodyDiv w:val="1"/>
      <w:marLeft w:val="0"/>
      <w:marRight w:val="0"/>
      <w:marTop w:val="0"/>
      <w:marBottom w:val="0"/>
      <w:divBdr>
        <w:top w:val="none" w:sz="0" w:space="0" w:color="auto"/>
        <w:left w:val="none" w:sz="0" w:space="0" w:color="auto"/>
        <w:bottom w:val="none" w:sz="0" w:space="0" w:color="auto"/>
        <w:right w:val="none" w:sz="0" w:space="0" w:color="auto"/>
      </w:divBdr>
    </w:div>
    <w:div w:id="1292785475">
      <w:bodyDiv w:val="1"/>
      <w:marLeft w:val="0"/>
      <w:marRight w:val="0"/>
      <w:marTop w:val="0"/>
      <w:marBottom w:val="0"/>
      <w:divBdr>
        <w:top w:val="none" w:sz="0" w:space="0" w:color="auto"/>
        <w:left w:val="none" w:sz="0" w:space="0" w:color="auto"/>
        <w:bottom w:val="none" w:sz="0" w:space="0" w:color="auto"/>
        <w:right w:val="none" w:sz="0" w:space="0" w:color="auto"/>
      </w:divBdr>
    </w:div>
    <w:div w:id="1404765739">
      <w:bodyDiv w:val="1"/>
      <w:marLeft w:val="0"/>
      <w:marRight w:val="0"/>
      <w:marTop w:val="0"/>
      <w:marBottom w:val="0"/>
      <w:divBdr>
        <w:top w:val="none" w:sz="0" w:space="0" w:color="auto"/>
        <w:left w:val="none" w:sz="0" w:space="0" w:color="auto"/>
        <w:bottom w:val="none" w:sz="0" w:space="0" w:color="auto"/>
        <w:right w:val="none" w:sz="0" w:space="0" w:color="auto"/>
      </w:divBdr>
    </w:div>
    <w:div w:id="1439179242">
      <w:bodyDiv w:val="1"/>
      <w:marLeft w:val="0"/>
      <w:marRight w:val="0"/>
      <w:marTop w:val="0"/>
      <w:marBottom w:val="0"/>
      <w:divBdr>
        <w:top w:val="none" w:sz="0" w:space="0" w:color="auto"/>
        <w:left w:val="none" w:sz="0" w:space="0" w:color="auto"/>
        <w:bottom w:val="none" w:sz="0" w:space="0" w:color="auto"/>
        <w:right w:val="none" w:sz="0" w:space="0" w:color="auto"/>
      </w:divBdr>
    </w:div>
    <w:div w:id="1509445106">
      <w:bodyDiv w:val="1"/>
      <w:marLeft w:val="0"/>
      <w:marRight w:val="0"/>
      <w:marTop w:val="0"/>
      <w:marBottom w:val="0"/>
      <w:divBdr>
        <w:top w:val="none" w:sz="0" w:space="0" w:color="auto"/>
        <w:left w:val="none" w:sz="0" w:space="0" w:color="auto"/>
        <w:bottom w:val="none" w:sz="0" w:space="0" w:color="auto"/>
        <w:right w:val="none" w:sz="0" w:space="0" w:color="auto"/>
      </w:divBdr>
    </w:div>
    <w:div w:id="1678076823">
      <w:bodyDiv w:val="1"/>
      <w:marLeft w:val="0"/>
      <w:marRight w:val="0"/>
      <w:marTop w:val="0"/>
      <w:marBottom w:val="0"/>
      <w:divBdr>
        <w:top w:val="none" w:sz="0" w:space="0" w:color="auto"/>
        <w:left w:val="none" w:sz="0" w:space="0" w:color="auto"/>
        <w:bottom w:val="none" w:sz="0" w:space="0" w:color="auto"/>
        <w:right w:val="none" w:sz="0" w:space="0" w:color="auto"/>
      </w:divBdr>
    </w:div>
    <w:div w:id="1752001917">
      <w:bodyDiv w:val="1"/>
      <w:marLeft w:val="0"/>
      <w:marRight w:val="0"/>
      <w:marTop w:val="0"/>
      <w:marBottom w:val="0"/>
      <w:divBdr>
        <w:top w:val="none" w:sz="0" w:space="0" w:color="auto"/>
        <w:left w:val="none" w:sz="0" w:space="0" w:color="auto"/>
        <w:bottom w:val="none" w:sz="0" w:space="0" w:color="auto"/>
        <w:right w:val="none" w:sz="0" w:space="0" w:color="auto"/>
      </w:divBdr>
      <w:divsChild>
        <w:div w:id="890507635">
          <w:marLeft w:val="0"/>
          <w:marRight w:val="0"/>
          <w:marTop w:val="0"/>
          <w:marBottom w:val="0"/>
          <w:divBdr>
            <w:top w:val="none" w:sz="0" w:space="0" w:color="auto"/>
            <w:left w:val="none" w:sz="0" w:space="0" w:color="auto"/>
            <w:bottom w:val="none" w:sz="0" w:space="0" w:color="auto"/>
            <w:right w:val="none" w:sz="0" w:space="0" w:color="auto"/>
          </w:divBdr>
          <w:divsChild>
            <w:div w:id="1326322747">
              <w:marLeft w:val="0"/>
              <w:marRight w:val="0"/>
              <w:marTop w:val="0"/>
              <w:marBottom w:val="0"/>
              <w:divBdr>
                <w:top w:val="none" w:sz="0" w:space="0" w:color="auto"/>
                <w:left w:val="none" w:sz="0" w:space="0" w:color="auto"/>
                <w:bottom w:val="none" w:sz="0" w:space="0" w:color="auto"/>
                <w:right w:val="none" w:sz="0" w:space="0" w:color="auto"/>
              </w:divBdr>
              <w:divsChild>
                <w:div w:id="1033267473">
                  <w:marLeft w:val="0"/>
                  <w:marRight w:val="0"/>
                  <w:marTop w:val="100"/>
                  <w:marBottom w:val="100"/>
                  <w:divBdr>
                    <w:top w:val="none" w:sz="0" w:space="0" w:color="auto"/>
                    <w:left w:val="none" w:sz="0" w:space="0" w:color="auto"/>
                    <w:bottom w:val="none" w:sz="0" w:space="0" w:color="auto"/>
                    <w:right w:val="none" w:sz="0" w:space="0" w:color="auto"/>
                  </w:divBdr>
                  <w:divsChild>
                    <w:div w:id="981538085">
                      <w:marLeft w:val="0"/>
                      <w:marRight w:val="0"/>
                      <w:marTop w:val="450"/>
                      <w:marBottom w:val="0"/>
                      <w:divBdr>
                        <w:top w:val="none" w:sz="0" w:space="0" w:color="auto"/>
                        <w:left w:val="none" w:sz="0" w:space="0" w:color="auto"/>
                        <w:bottom w:val="none" w:sz="0" w:space="0" w:color="auto"/>
                        <w:right w:val="none" w:sz="0" w:space="0" w:color="auto"/>
                      </w:divBdr>
                      <w:divsChild>
                        <w:div w:id="1868181716">
                          <w:marLeft w:val="3450"/>
                          <w:marRight w:val="0"/>
                          <w:marTop w:val="0"/>
                          <w:marBottom w:val="0"/>
                          <w:divBdr>
                            <w:top w:val="none" w:sz="0" w:space="0" w:color="auto"/>
                            <w:left w:val="none" w:sz="0" w:space="0" w:color="auto"/>
                            <w:bottom w:val="none" w:sz="0" w:space="0" w:color="auto"/>
                            <w:right w:val="none" w:sz="0" w:space="0" w:color="auto"/>
                          </w:divBdr>
                          <w:divsChild>
                            <w:div w:id="844593867">
                              <w:marLeft w:val="0"/>
                              <w:marRight w:val="0"/>
                              <w:marTop w:val="0"/>
                              <w:marBottom w:val="0"/>
                              <w:divBdr>
                                <w:top w:val="none" w:sz="0" w:space="0" w:color="auto"/>
                                <w:left w:val="none" w:sz="0" w:space="0" w:color="auto"/>
                                <w:bottom w:val="none" w:sz="0" w:space="0" w:color="auto"/>
                                <w:right w:val="none" w:sz="0" w:space="0" w:color="auto"/>
                              </w:divBdr>
                              <w:divsChild>
                                <w:div w:id="815537839">
                                  <w:marLeft w:val="0"/>
                                  <w:marRight w:val="0"/>
                                  <w:marTop w:val="0"/>
                                  <w:marBottom w:val="0"/>
                                  <w:divBdr>
                                    <w:top w:val="none" w:sz="0" w:space="0" w:color="auto"/>
                                    <w:left w:val="none" w:sz="0" w:space="0" w:color="auto"/>
                                    <w:bottom w:val="none" w:sz="0" w:space="0" w:color="auto"/>
                                    <w:right w:val="none" w:sz="0" w:space="0" w:color="auto"/>
                                  </w:divBdr>
                                  <w:divsChild>
                                    <w:div w:id="1243485153">
                                      <w:marLeft w:val="0"/>
                                      <w:marRight w:val="0"/>
                                      <w:marTop w:val="0"/>
                                      <w:marBottom w:val="0"/>
                                      <w:divBdr>
                                        <w:top w:val="none" w:sz="0" w:space="0" w:color="auto"/>
                                        <w:left w:val="none" w:sz="0" w:space="0" w:color="auto"/>
                                        <w:bottom w:val="none" w:sz="0" w:space="0" w:color="auto"/>
                                        <w:right w:val="none" w:sz="0" w:space="0" w:color="auto"/>
                                      </w:divBdr>
                                      <w:divsChild>
                                        <w:div w:id="1623345813">
                                          <w:marLeft w:val="0"/>
                                          <w:marRight w:val="0"/>
                                          <w:marTop w:val="0"/>
                                          <w:marBottom w:val="0"/>
                                          <w:divBdr>
                                            <w:top w:val="none" w:sz="0" w:space="0" w:color="auto"/>
                                            <w:left w:val="none" w:sz="0" w:space="0" w:color="auto"/>
                                            <w:bottom w:val="none" w:sz="0" w:space="0" w:color="auto"/>
                                            <w:right w:val="none" w:sz="0" w:space="0" w:color="auto"/>
                                          </w:divBdr>
                                          <w:divsChild>
                                            <w:div w:id="5178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0633814">
      <w:bodyDiv w:val="1"/>
      <w:marLeft w:val="0"/>
      <w:marRight w:val="0"/>
      <w:marTop w:val="0"/>
      <w:marBottom w:val="0"/>
      <w:divBdr>
        <w:top w:val="none" w:sz="0" w:space="0" w:color="auto"/>
        <w:left w:val="none" w:sz="0" w:space="0" w:color="auto"/>
        <w:bottom w:val="none" w:sz="0" w:space="0" w:color="auto"/>
        <w:right w:val="none" w:sz="0" w:space="0" w:color="auto"/>
      </w:divBdr>
    </w:div>
    <w:div w:id="1909998682">
      <w:bodyDiv w:val="1"/>
      <w:marLeft w:val="0"/>
      <w:marRight w:val="0"/>
      <w:marTop w:val="0"/>
      <w:marBottom w:val="0"/>
      <w:divBdr>
        <w:top w:val="none" w:sz="0" w:space="0" w:color="auto"/>
        <w:left w:val="none" w:sz="0" w:space="0" w:color="auto"/>
        <w:bottom w:val="none" w:sz="0" w:space="0" w:color="auto"/>
        <w:right w:val="none" w:sz="0" w:space="0" w:color="auto"/>
      </w:divBdr>
    </w:div>
    <w:div w:id="1955938682">
      <w:bodyDiv w:val="1"/>
      <w:marLeft w:val="0"/>
      <w:marRight w:val="0"/>
      <w:marTop w:val="0"/>
      <w:marBottom w:val="0"/>
      <w:divBdr>
        <w:top w:val="none" w:sz="0" w:space="0" w:color="auto"/>
        <w:left w:val="none" w:sz="0" w:space="0" w:color="auto"/>
        <w:bottom w:val="none" w:sz="0" w:space="0" w:color="auto"/>
        <w:right w:val="none" w:sz="0" w:space="0" w:color="auto"/>
      </w:divBdr>
    </w:div>
    <w:div w:id="1980573815">
      <w:bodyDiv w:val="1"/>
      <w:marLeft w:val="0"/>
      <w:marRight w:val="0"/>
      <w:marTop w:val="0"/>
      <w:marBottom w:val="0"/>
      <w:divBdr>
        <w:top w:val="none" w:sz="0" w:space="0" w:color="auto"/>
        <w:left w:val="none" w:sz="0" w:space="0" w:color="auto"/>
        <w:bottom w:val="none" w:sz="0" w:space="0" w:color="auto"/>
        <w:right w:val="none" w:sz="0" w:space="0" w:color="auto"/>
      </w:divBdr>
    </w:div>
    <w:div w:id="2034574076">
      <w:bodyDiv w:val="1"/>
      <w:marLeft w:val="0"/>
      <w:marRight w:val="0"/>
      <w:marTop w:val="0"/>
      <w:marBottom w:val="0"/>
      <w:divBdr>
        <w:top w:val="none" w:sz="0" w:space="0" w:color="auto"/>
        <w:left w:val="none" w:sz="0" w:space="0" w:color="auto"/>
        <w:bottom w:val="none" w:sz="0" w:space="0" w:color="auto"/>
        <w:right w:val="none" w:sz="0" w:space="0" w:color="auto"/>
      </w:divBdr>
    </w:div>
    <w:div w:id="2060350341">
      <w:bodyDiv w:val="1"/>
      <w:marLeft w:val="0"/>
      <w:marRight w:val="0"/>
      <w:marTop w:val="0"/>
      <w:marBottom w:val="0"/>
      <w:divBdr>
        <w:top w:val="none" w:sz="0" w:space="0" w:color="auto"/>
        <w:left w:val="none" w:sz="0" w:space="0" w:color="auto"/>
        <w:bottom w:val="none" w:sz="0" w:space="0" w:color="auto"/>
        <w:right w:val="none" w:sz="0" w:space="0" w:color="auto"/>
      </w:divBdr>
    </w:div>
    <w:div w:id="212495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0CF01-95C6-4D56-B170-EF87E6F50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4202</Words>
  <Characters>23113</Characters>
  <Application>Microsoft Office Word</Application>
  <DocSecurity>0</DocSecurity>
  <Lines>192</Lines>
  <Paragraphs>54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Author Guidelines for 8</vt:lpstr>
      <vt:lpstr>Author Guidelines for 8</vt:lpstr>
    </vt:vector>
  </TitlesOfParts>
  <Company>Microsoft</Company>
  <LinksUpToDate>false</LinksUpToDate>
  <CharactersWithSpaces>27261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Guidelines for 8</dc:title>
  <dc:creator>foobar</dc:creator>
  <cp:lastModifiedBy>Aurélie Bellucci</cp:lastModifiedBy>
  <cp:revision>2</cp:revision>
  <cp:lastPrinted>2018-10-30T08:42:00Z</cp:lastPrinted>
  <dcterms:created xsi:type="dcterms:W3CDTF">2018-10-30T08:42:00Z</dcterms:created>
  <dcterms:modified xsi:type="dcterms:W3CDTF">2018-10-30T08:42:00Z</dcterms:modified>
</cp:coreProperties>
</file>