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57A6" w14:textId="3BEA4F13" w:rsidR="00D40BCF" w:rsidRPr="00EC41E6" w:rsidRDefault="00C33DD0" w:rsidP="00AC6319">
      <w:pPr>
        <w:rPr>
          <w:sz w:val="36"/>
          <w:szCs w:val="36"/>
        </w:rPr>
      </w:pPr>
      <w:r>
        <w:rPr>
          <w:sz w:val="36"/>
          <w:szCs w:val="36"/>
        </w:rPr>
        <w:t>A High-performance TID- and SEE-</w:t>
      </w:r>
      <w:r w:rsidR="00CD77F3">
        <w:rPr>
          <w:sz w:val="36"/>
          <w:szCs w:val="36"/>
        </w:rPr>
        <w:t>T</w:t>
      </w:r>
      <w:r>
        <w:rPr>
          <w:sz w:val="36"/>
          <w:szCs w:val="36"/>
        </w:rPr>
        <w:t xml:space="preserve">olerant </w:t>
      </w:r>
      <w:r w:rsidR="00CD77F3">
        <w:rPr>
          <w:sz w:val="36"/>
          <w:szCs w:val="36"/>
        </w:rPr>
        <w:t>ADC in 65 nm for Space Applications</w:t>
      </w:r>
    </w:p>
    <w:p w14:paraId="32BF8E28" w14:textId="18FCFEF6" w:rsidR="00AC6319" w:rsidRDefault="00AC6319" w:rsidP="00AC6319"/>
    <w:p w14:paraId="79BD57BD" w14:textId="3645DB56" w:rsidR="00AC6319" w:rsidRPr="002B416B" w:rsidRDefault="00AC6319" w:rsidP="00AC6319">
      <w:pPr>
        <w:rPr>
          <w:i/>
          <w:iCs/>
        </w:rPr>
      </w:pPr>
      <w:r w:rsidRPr="002B416B">
        <w:rPr>
          <w:i/>
          <w:iCs/>
        </w:rPr>
        <w:t>Zheyi Li, Laurent Berti,</w:t>
      </w:r>
      <w:r w:rsidR="00AC01A1" w:rsidRPr="002B416B">
        <w:rPr>
          <w:i/>
          <w:iCs/>
        </w:rPr>
        <w:t xml:space="preserve"> Qiuyang Lin, Jinghao Zhao</w:t>
      </w:r>
      <w:r w:rsidR="00DE1444" w:rsidRPr="002B416B">
        <w:rPr>
          <w:i/>
          <w:iCs/>
        </w:rPr>
        <w:t>,</w:t>
      </w:r>
      <w:r w:rsidRPr="002B416B">
        <w:rPr>
          <w:i/>
          <w:iCs/>
        </w:rPr>
        <w:t xml:space="preserve"> </w:t>
      </w:r>
      <w:r w:rsidR="00AC01A1" w:rsidRPr="002B416B">
        <w:rPr>
          <w:i/>
          <w:iCs/>
        </w:rPr>
        <w:t>Maxim Gorbunov, Geert Thys,</w:t>
      </w:r>
      <w:r w:rsidR="00044BF7" w:rsidRPr="002B416B">
        <w:rPr>
          <w:i/>
          <w:iCs/>
        </w:rPr>
        <w:t xml:space="preserve"> </w:t>
      </w:r>
      <w:r w:rsidRPr="002B416B">
        <w:rPr>
          <w:i/>
          <w:iCs/>
        </w:rPr>
        <w:t>Paul Leroux</w:t>
      </w:r>
    </w:p>
    <w:p w14:paraId="7DED65EB" w14:textId="77777777" w:rsidR="009B5D96" w:rsidRPr="00DE558C" w:rsidRDefault="009B5D96" w:rsidP="009B5D96">
      <w:pPr>
        <w:pStyle w:val="Subtitle"/>
        <w:rPr>
          <w:rStyle w:val="SubtleEmphasis"/>
          <w:lang w:val="nl-NL"/>
        </w:rPr>
      </w:pPr>
      <w:r w:rsidRPr="00DE558C">
        <w:rPr>
          <w:rStyle w:val="SubtleEmphasis"/>
          <w:lang w:val="nl-NL"/>
        </w:rPr>
        <w:t>IMEC, 3001, Leuven, Belgium</w:t>
      </w:r>
    </w:p>
    <w:p w14:paraId="457A3FC6" w14:textId="0D9703C6" w:rsidR="009B5D96" w:rsidRPr="00DE558C" w:rsidRDefault="009B5D96" w:rsidP="00962AEE">
      <w:pPr>
        <w:pStyle w:val="Subtitle"/>
        <w:rPr>
          <w:rStyle w:val="SubtleEmphasis"/>
          <w:lang w:val="nl-NL"/>
        </w:rPr>
      </w:pPr>
      <w:r w:rsidRPr="00DE558C">
        <w:rPr>
          <w:rStyle w:val="SubtleEmphasis"/>
          <w:lang w:val="nl-NL"/>
        </w:rPr>
        <w:t>KU Leuven</w:t>
      </w:r>
      <w:r w:rsidR="00962AEE" w:rsidRPr="00DE558C">
        <w:rPr>
          <w:rStyle w:val="SubtleEmphasis"/>
          <w:lang w:val="nl-NL"/>
        </w:rPr>
        <w:t>, 2440 Geel, Belgium</w:t>
      </w:r>
    </w:p>
    <w:p w14:paraId="6FDBEB3D" w14:textId="77777777" w:rsidR="00AC6319" w:rsidRPr="00DE558C" w:rsidRDefault="00AC6319" w:rsidP="00AC6319">
      <w:pPr>
        <w:rPr>
          <w:lang w:val="nl-NL"/>
        </w:rPr>
      </w:pPr>
    </w:p>
    <w:p w14:paraId="05AF6721" w14:textId="6D93218B" w:rsidR="00721FDF" w:rsidRDefault="00721FDF" w:rsidP="3471FCDA">
      <w:pPr>
        <w:jc w:val="both"/>
        <w:rPr>
          <w:highlight w:val="yellow"/>
        </w:rPr>
      </w:pPr>
      <w:r w:rsidRPr="3471FCDA">
        <w:rPr>
          <w:lang w:val="en-GB"/>
        </w:rPr>
        <w:t xml:space="preserve">In </w:t>
      </w:r>
      <w:r w:rsidR="008E23F2" w:rsidRPr="3471FCDA">
        <w:rPr>
          <w:lang w:val="en-GB"/>
        </w:rPr>
        <w:t xml:space="preserve">space radiation effects such as </w:t>
      </w:r>
      <w:r w:rsidR="00655A0C" w:rsidRPr="3471FCDA">
        <w:rPr>
          <w:lang w:val="en-GB"/>
        </w:rPr>
        <w:t>Total Ionizing Dose (TID) effects and Single Event Effects (SEEs) are the main threat to the microelectronic co</w:t>
      </w:r>
      <w:r w:rsidR="00454FEA">
        <w:rPr>
          <w:lang w:val="en-GB"/>
        </w:rPr>
        <w:t>m</w:t>
      </w:r>
      <w:r w:rsidR="00655A0C" w:rsidRPr="3471FCDA">
        <w:rPr>
          <w:lang w:val="en-GB"/>
        </w:rPr>
        <w:t xml:space="preserve">ponents. </w:t>
      </w:r>
      <w:r w:rsidR="00212923" w:rsidRPr="3471FCDA">
        <w:rPr>
          <w:lang w:val="en-GB"/>
        </w:rPr>
        <w:t xml:space="preserve">ADCs, which are </w:t>
      </w:r>
      <w:r w:rsidR="00454FEA">
        <w:rPr>
          <w:lang w:val="en-GB"/>
        </w:rPr>
        <w:t>a</w:t>
      </w:r>
      <w:r w:rsidR="00454FEA" w:rsidRPr="3471FCDA">
        <w:rPr>
          <w:lang w:val="en-GB"/>
        </w:rPr>
        <w:t xml:space="preserve"> </w:t>
      </w:r>
      <w:r w:rsidR="00212923" w:rsidRPr="3471FCDA">
        <w:rPr>
          <w:lang w:val="en-GB"/>
        </w:rPr>
        <w:t xml:space="preserve">crucial </w:t>
      </w:r>
      <w:r w:rsidR="00454FEA">
        <w:rPr>
          <w:lang w:val="en-GB"/>
        </w:rPr>
        <w:t>part</w:t>
      </w:r>
      <w:r w:rsidR="00454FEA" w:rsidRPr="3471FCDA">
        <w:rPr>
          <w:lang w:val="en-GB"/>
        </w:rPr>
        <w:t xml:space="preserve"> </w:t>
      </w:r>
      <w:r w:rsidR="00443031" w:rsidRPr="3471FCDA">
        <w:rPr>
          <w:lang w:val="en-GB"/>
        </w:rPr>
        <w:t>of the telecommunication chain, are also facing these challenges</w:t>
      </w:r>
      <w:r w:rsidRPr="3471FCDA">
        <w:rPr>
          <w:lang w:val="en-GB"/>
        </w:rPr>
        <w:t xml:space="preserve">. </w:t>
      </w:r>
      <w:r w:rsidR="00DA0C82" w:rsidRPr="3471FCDA">
        <w:rPr>
          <w:lang w:val="en-GB"/>
        </w:rPr>
        <w:t xml:space="preserve">Radiation hardening </w:t>
      </w:r>
      <w:r w:rsidR="00454FEA">
        <w:rPr>
          <w:lang w:val="en-GB"/>
        </w:rPr>
        <w:t xml:space="preserve">of the ADC </w:t>
      </w:r>
      <w:r w:rsidR="00DA0C82" w:rsidRPr="3471FCDA">
        <w:rPr>
          <w:lang w:val="en-GB"/>
        </w:rPr>
        <w:t>is mandatory for the assurance of function and performance</w:t>
      </w:r>
      <w:r w:rsidR="0022149E" w:rsidRPr="3471FCDA">
        <w:rPr>
          <w:lang w:val="en-GB"/>
        </w:rPr>
        <w:t>,</w:t>
      </w:r>
      <w:r w:rsidR="00DA0C82" w:rsidRPr="3471FCDA">
        <w:rPr>
          <w:lang w:val="en-GB"/>
        </w:rPr>
        <w:t xml:space="preserve"> </w:t>
      </w:r>
      <w:r w:rsidR="0022149E" w:rsidRPr="3471FCDA">
        <w:rPr>
          <w:lang w:val="en-GB"/>
        </w:rPr>
        <w:t>which</w:t>
      </w:r>
      <w:r w:rsidR="00DA0C82" w:rsidRPr="3471FCDA">
        <w:rPr>
          <w:lang w:val="en-GB"/>
        </w:rPr>
        <w:t xml:space="preserve"> </w:t>
      </w:r>
      <w:r w:rsidRPr="3471FCDA">
        <w:rPr>
          <w:lang w:val="en-GB"/>
        </w:rPr>
        <w:t xml:space="preserve">usually brings penalties to power efficiency. This paper presents a </w:t>
      </w:r>
      <w:r w:rsidR="000F4459" w:rsidRPr="3471FCDA">
        <w:rPr>
          <w:lang w:val="en-GB"/>
        </w:rPr>
        <w:t xml:space="preserve">high-performance </w:t>
      </w:r>
      <w:r w:rsidRPr="3471FCDA">
        <w:rPr>
          <w:lang w:val="en-GB"/>
        </w:rPr>
        <w:t xml:space="preserve">pipelined-SAR ADC, which is designed by revealing and balancing the </w:t>
      </w:r>
      <w:proofErr w:type="spellStart"/>
      <w:r w:rsidRPr="3471FCDA">
        <w:rPr>
          <w:lang w:val="en-GB"/>
        </w:rPr>
        <w:t>tradeoffs</w:t>
      </w:r>
      <w:proofErr w:type="spellEnd"/>
      <w:r w:rsidRPr="3471FCDA">
        <w:rPr>
          <w:lang w:val="en-GB"/>
        </w:rPr>
        <w:t xml:space="preserve"> between power efficiency and radiation tolerance, achieving 80MS/s and 70.79-dB SNDR with high conversion efficiency and radiation tolerance</w:t>
      </w:r>
      <w:r w:rsidR="00522C98" w:rsidRPr="3471FCDA">
        <w:rPr>
          <w:lang w:val="en-GB"/>
        </w:rPr>
        <w:t xml:space="preserve"> to TID and SEEs</w:t>
      </w:r>
      <w:r w:rsidRPr="3471FCDA">
        <w:rPr>
          <w:lang w:val="en-GB"/>
        </w:rPr>
        <w:t>.</w:t>
      </w:r>
      <w:r w:rsidR="007100D1" w:rsidRPr="3471FCDA">
        <w:rPr>
          <w:lang w:val="en-GB"/>
        </w:rPr>
        <w:t xml:space="preserve"> </w:t>
      </w:r>
      <w:r w:rsidR="00454FEA">
        <w:rPr>
          <w:lang w:val="en-GB"/>
        </w:rPr>
        <w:t>I</w:t>
      </w:r>
      <w:r w:rsidR="007100D1" w:rsidRPr="3471FCDA">
        <w:rPr>
          <w:lang w:val="en-GB"/>
        </w:rPr>
        <w:t xml:space="preserve">rradiation tests confirm that the ADC remains unaffected up to </w:t>
      </w:r>
      <w:r w:rsidR="00454FEA">
        <w:rPr>
          <w:lang w:val="en-GB"/>
        </w:rPr>
        <w:t>3</w:t>
      </w:r>
      <w:r w:rsidR="007100D1" w:rsidRPr="3471FCDA">
        <w:rPr>
          <w:lang w:val="en-GB"/>
        </w:rPr>
        <w:t xml:space="preserve">00 </w:t>
      </w:r>
      <w:proofErr w:type="spellStart"/>
      <w:proofErr w:type="gramStart"/>
      <w:r w:rsidR="007100D1" w:rsidRPr="3471FCDA">
        <w:rPr>
          <w:lang w:val="en-GB"/>
        </w:rPr>
        <w:t>krad</w:t>
      </w:r>
      <w:proofErr w:type="spellEnd"/>
      <w:r w:rsidR="007100D1" w:rsidRPr="3471FCDA">
        <w:rPr>
          <w:lang w:val="en-GB"/>
        </w:rPr>
        <w:t>(</w:t>
      </w:r>
      <w:proofErr w:type="gramEnd"/>
      <w:r w:rsidR="007100D1" w:rsidRPr="3471FCDA">
        <w:rPr>
          <w:lang w:val="en-GB"/>
        </w:rPr>
        <w:t xml:space="preserve">Si), displaying </w:t>
      </w:r>
      <w:r w:rsidR="00454FEA">
        <w:rPr>
          <w:lang w:val="en-GB"/>
        </w:rPr>
        <w:t>its</w:t>
      </w:r>
      <w:r w:rsidR="00454FEA" w:rsidRPr="3471FCDA">
        <w:rPr>
          <w:lang w:val="en-GB"/>
        </w:rPr>
        <w:t xml:space="preserve"> </w:t>
      </w:r>
      <w:r w:rsidR="007100D1" w:rsidRPr="3471FCDA">
        <w:rPr>
          <w:lang w:val="en-GB"/>
        </w:rPr>
        <w:t>resilience</w:t>
      </w:r>
      <w:r w:rsidR="00454FEA">
        <w:rPr>
          <w:lang w:val="en-GB"/>
        </w:rPr>
        <w:t xml:space="preserve"> to TID</w:t>
      </w:r>
      <w:r w:rsidR="007100D1" w:rsidRPr="3471FCDA">
        <w:rPr>
          <w:lang w:val="en-GB"/>
        </w:rPr>
        <w:t>. Notably, the ADC exhibits a limited SEE-sensitive region and swift recovery even in the occurrence of SEE events.</w:t>
      </w:r>
      <w:r w:rsidR="00C15BF4" w:rsidRPr="3471FCDA">
        <w:rPr>
          <w:lang w:val="en-GB"/>
        </w:rPr>
        <w:t xml:space="preserve"> With a total power consumption of 13.8 </w:t>
      </w:r>
      <w:proofErr w:type="spellStart"/>
      <w:r w:rsidR="00C15BF4" w:rsidRPr="3471FCDA">
        <w:rPr>
          <w:lang w:val="en-GB"/>
        </w:rPr>
        <w:t>mW</w:t>
      </w:r>
      <w:proofErr w:type="spellEnd"/>
      <w:r w:rsidR="00C15BF4" w:rsidRPr="3471FCDA">
        <w:rPr>
          <w:lang w:val="en-GB"/>
        </w:rPr>
        <w:t xml:space="preserve">, the </w:t>
      </w:r>
      <w:r w:rsidR="00C15BF4" w:rsidRPr="00FE17DF">
        <w:rPr>
          <w:lang w:val="en-GB"/>
        </w:rPr>
        <w:t xml:space="preserve">prototype ADC establishes a state-of-the-art Walden Figure of Merit of 60.7 </w:t>
      </w:r>
      <w:proofErr w:type="spellStart"/>
      <w:r w:rsidR="00C15BF4" w:rsidRPr="00FE17DF">
        <w:rPr>
          <w:lang w:val="en-GB"/>
        </w:rPr>
        <w:t>fJ</w:t>
      </w:r>
      <w:proofErr w:type="spellEnd"/>
      <w:r w:rsidR="00C15BF4" w:rsidRPr="00FE17DF">
        <w:rPr>
          <w:lang w:val="en-GB"/>
        </w:rPr>
        <w:t>/conv step, yielding a</w:t>
      </w:r>
      <w:r w:rsidR="04B9E401" w:rsidRPr="00FE17DF">
        <w:rPr>
          <w:lang w:val="en-GB"/>
        </w:rPr>
        <w:t>n</w:t>
      </w:r>
      <w:r w:rsidR="00C15BF4" w:rsidRPr="00FE17DF">
        <w:rPr>
          <w:lang w:val="en-GB"/>
        </w:rPr>
        <w:t xml:space="preserve"> efficiency </w:t>
      </w:r>
      <w:r w:rsidR="272A4E24" w:rsidRPr="00FE17DF">
        <w:rPr>
          <w:lang w:val="en-GB"/>
        </w:rPr>
        <w:t>that is comparable with</w:t>
      </w:r>
      <w:r w:rsidR="00C15BF4" w:rsidRPr="00FE17DF">
        <w:rPr>
          <w:lang w:val="en-GB"/>
        </w:rPr>
        <w:t xml:space="preserve"> the non-radiation-tolerant ADCs with similar specifications.</w:t>
      </w:r>
      <w:r w:rsidR="5D377311" w:rsidRPr="00FE17DF">
        <w:rPr>
          <w:lang w:val="en-GB"/>
        </w:rPr>
        <w:t xml:space="preserve"> </w:t>
      </w:r>
      <w:r w:rsidR="3F871F03" w:rsidRPr="00FE17DF">
        <w:rPr>
          <w:lang w:val="en-GB"/>
        </w:rPr>
        <w:t>The ADC was designed</w:t>
      </w:r>
      <w:r w:rsidR="6EBADD00" w:rsidRPr="00FE17DF">
        <w:rPr>
          <w:lang w:val="en-GB"/>
        </w:rPr>
        <w:t xml:space="preserve"> in accordance with the hardening practices used in </w:t>
      </w:r>
      <w:proofErr w:type="spellStart"/>
      <w:r w:rsidR="6EBADD00" w:rsidRPr="00FE17DF">
        <w:rPr>
          <w:lang w:val="en-GB"/>
        </w:rPr>
        <w:t>imec’s</w:t>
      </w:r>
      <w:proofErr w:type="spellEnd"/>
      <w:r w:rsidR="6EBADD00" w:rsidRPr="00FE17DF">
        <w:rPr>
          <w:lang w:val="en-GB"/>
        </w:rPr>
        <w:t xml:space="preserve"> DARE65</w:t>
      </w:r>
      <w:r w:rsidR="50B933B9" w:rsidRPr="00FE17DF">
        <w:rPr>
          <w:lang w:val="en-GB"/>
        </w:rPr>
        <w:t>T</w:t>
      </w:r>
      <w:r w:rsidR="6EBADD00" w:rsidRPr="00FE17DF">
        <w:rPr>
          <w:lang w:val="en-GB"/>
        </w:rPr>
        <w:t xml:space="preserve"> platform</w:t>
      </w:r>
      <w:r w:rsidR="165332EE" w:rsidRPr="00FE17DF">
        <w:rPr>
          <w:lang w:val="en-GB"/>
        </w:rPr>
        <w:t xml:space="preserve"> [1].</w:t>
      </w:r>
      <w:r w:rsidR="3F871F03" w:rsidRPr="3471FCDA">
        <w:rPr>
          <w:lang w:val="en-GB"/>
        </w:rPr>
        <w:t xml:space="preserve"> </w:t>
      </w:r>
    </w:p>
    <w:p w14:paraId="6308BC56" w14:textId="3DC6AB82" w:rsidR="00E76AE2" w:rsidRPr="00FE17DF" w:rsidRDefault="00E33ABC" w:rsidP="3471FCDA">
      <w:pPr>
        <w:jc w:val="both"/>
        <w:rPr>
          <w:lang w:val="en-GB"/>
        </w:rPr>
      </w:pPr>
      <w:r w:rsidRPr="00FE17DF">
        <w:t>It should be noted that the ADC present in this paper had been published in [</w:t>
      </w:r>
      <w:r w:rsidR="00FE17DF" w:rsidRPr="00FE17DF">
        <w:t>2</w:t>
      </w:r>
      <w:r w:rsidRPr="00FE17DF">
        <w:t>].</w:t>
      </w:r>
    </w:p>
    <w:p w14:paraId="1D38595B" w14:textId="6636F377" w:rsidR="00322F00" w:rsidRPr="004065BC" w:rsidRDefault="00322F00" w:rsidP="006473A2">
      <w:pPr>
        <w:jc w:val="both"/>
        <w:rPr>
          <w:b/>
          <w:bCs/>
          <w:lang w:val="en-GB"/>
        </w:rPr>
      </w:pPr>
      <w:r w:rsidRPr="004065BC">
        <w:rPr>
          <w:b/>
          <w:bCs/>
          <w:lang w:val="en-GB"/>
        </w:rPr>
        <w:t>ADC</w:t>
      </w:r>
      <w:r w:rsidR="006473A2">
        <w:rPr>
          <w:b/>
          <w:bCs/>
          <w:lang w:val="en-GB"/>
        </w:rPr>
        <w:t xml:space="preserve"> </w:t>
      </w:r>
      <w:r w:rsidRPr="004065BC">
        <w:rPr>
          <w:b/>
          <w:bCs/>
          <w:lang w:val="en-GB"/>
        </w:rPr>
        <w:t>structure</w:t>
      </w:r>
    </w:p>
    <w:p w14:paraId="4227D37D" w14:textId="79961DD5" w:rsidR="004065BC" w:rsidRDefault="00322F00" w:rsidP="006473A2">
      <w:pPr>
        <w:jc w:val="both"/>
        <w:rPr>
          <w:lang w:val="en-GB"/>
        </w:rPr>
      </w:pPr>
      <w:r w:rsidRPr="3471FCDA">
        <w:rPr>
          <w:lang w:val="en-GB"/>
        </w:rPr>
        <w:t xml:space="preserve">The Semi-Time-Interleaved (Semi-TI) pipelined-SAR ADC </w:t>
      </w:r>
      <w:r w:rsidR="00FE17DF" w:rsidRPr="00FE17DF">
        <w:rPr>
          <w:lang w:val="en-GB"/>
        </w:rPr>
        <w:t>architecture</w:t>
      </w:r>
      <w:r w:rsidR="00FE17DF">
        <w:rPr>
          <w:lang w:val="en-GB"/>
        </w:rPr>
        <w:t xml:space="preserve"> </w:t>
      </w:r>
      <w:r w:rsidRPr="3471FCDA">
        <w:rPr>
          <w:lang w:val="en-GB"/>
        </w:rPr>
        <w:t xml:space="preserve">is proposed to maximize residue amplifier (RA) usability and improve ADC power efficiency. The proposed ADC consists of two channels of pipelined-SAR ADCs, but only one RA is implemented and shared between the two channels. As a result, the residue amplifier will alternately serve two channels and be </w:t>
      </w:r>
      <w:proofErr w:type="gramStart"/>
      <w:r w:rsidRPr="3471FCDA">
        <w:rPr>
          <w:lang w:val="en-GB"/>
        </w:rPr>
        <w:t>used at all times</w:t>
      </w:r>
      <w:proofErr w:type="gramEnd"/>
      <w:r w:rsidRPr="3471FCDA">
        <w:rPr>
          <w:lang w:val="en-GB"/>
        </w:rPr>
        <w:t xml:space="preserve">. </w:t>
      </w:r>
      <w:r w:rsidR="00454FEA">
        <w:rPr>
          <w:lang w:val="en-GB"/>
        </w:rPr>
        <w:t xml:space="preserve">The </w:t>
      </w:r>
      <w:r w:rsidRPr="3471FCDA">
        <w:rPr>
          <w:lang w:val="en-GB"/>
        </w:rPr>
        <w:t xml:space="preserve">Semi-TI </w:t>
      </w:r>
      <w:r w:rsidR="00C11089" w:rsidRPr="3471FCDA">
        <w:rPr>
          <w:lang w:val="en-GB"/>
        </w:rPr>
        <w:t xml:space="preserve">structure </w:t>
      </w:r>
      <w:r w:rsidR="00454FEA">
        <w:rPr>
          <w:lang w:val="en-GB"/>
        </w:rPr>
        <w:t xml:space="preserve">also </w:t>
      </w:r>
      <w:r w:rsidR="00C11089" w:rsidRPr="3471FCDA">
        <w:rPr>
          <w:lang w:val="en-GB"/>
        </w:rPr>
        <w:t>allows the coarse</w:t>
      </w:r>
      <w:r w:rsidR="00BA12B6" w:rsidRPr="3471FCDA">
        <w:rPr>
          <w:lang w:val="en-GB"/>
        </w:rPr>
        <w:t xml:space="preserve"> and fine stage ADC</w:t>
      </w:r>
      <w:r w:rsidRPr="3471FCDA">
        <w:rPr>
          <w:lang w:val="en-GB"/>
        </w:rPr>
        <w:t xml:space="preserve"> to operate at half </w:t>
      </w:r>
      <w:r w:rsidR="003979C9" w:rsidRPr="3471FCDA">
        <w:rPr>
          <w:lang w:val="en-GB"/>
        </w:rPr>
        <w:t>fs</w:t>
      </w:r>
      <w:r w:rsidRPr="3471FCDA">
        <w:rPr>
          <w:lang w:val="en-GB"/>
        </w:rPr>
        <w:t xml:space="preserve">. The </w:t>
      </w:r>
      <w:r w:rsidR="003979C9" w:rsidRPr="3471FCDA">
        <w:rPr>
          <w:lang w:val="en-GB"/>
        </w:rPr>
        <w:t xml:space="preserve">coarse stage </w:t>
      </w:r>
      <w:r w:rsidRPr="3471FCDA">
        <w:rPr>
          <w:lang w:val="en-GB"/>
        </w:rPr>
        <w:t xml:space="preserve">ADC employs a 6-bit accuracy with 1b extra unit capacitors, which brings 1-bit redundancy. The </w:t>
      </w:r>
      <w:r w:rsidR="003979C9" w:rsidRPr="3471FCDA">
        <w:rPr>
          <w:lang w:val="en-GB"/>
        </w:rPr>
        <w:t>fine stage</w:t>
      </w:r>
      <w:r w:rsidRPr="3471FCDA">
        <w:rPr>
          <w:lang w:val="en-GB"/>
        </w:rPr>
        <w:t xml:space="preserve"> achieves a 7-bit accuracy with an extra 1-bit interstage redundancy. Therefore, the gain of the shared residue amplifier is half-scale (32.5</w:t>
      </w:r>
      <w:r w:rsidR="003979C9" w:rsidRPr="3471FCDA">
        <w:rPr>
          <w:lang w:val="en-GB"/>
        </w:rPr>
        <w:t>x)</w:t>
      </w:r>
      <w:r w:rsidRPr="3471FCDA">
        <w:rPr>
          <w:lang w:val="en-GB"/>
        </w:rPr>
        <w:t xml:space="preserve"> and gives more error tolerance to the coarse stage. </w:t>
      </w:r>
      <w:r w:rsidR="008101D5" w:rsidRPr="3471FCDA">
        <w:rPr>
          <w:lang w:val="en-GB"/>
        </w:rPr>
        <w:t xml:space="preserve">In this ADC, </w:t>
      </w:r>
      <w:r w:rsidR="004065BC" w:rsidRPr="3471FCDA">
        <w:rPr>
          <w:lang w:val="en-GB"/>
        </w:rPr>
        <w:t>several critical blocks were hardened for SEEs, such as the clock generation block, comparator,</w:t>
      </w:r>
      <w:r w:rsidR="008101D5" w:rsidRPr="3471FCDA">
        <w:rPr>
          <w:lang w:val="en-GB"/>
        </w:rPr>
        <w:t xml:space="preserve"> and RA.</w:t>
      </w:r>
    </w:p>
    <w:p w14:paraId="7CB1D647" w14:textId="77F65A46" w:rsidR="00A7773F" w:rsidRDefault="005F09BD" w:rsidP="006473A2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Radiation tests</w:t>
      </w:r>
    </w:p>
    <w:p w14:paraId="57619091" w14:textId="09AE744B" w:rsidR="000C149B" w:rsidRDefault="00A7773F" w:rsidP="00FE17DF">
      <w:pPr>
        <w:jc w:val="both"/>
        <w:rPr>
          <w:lang w:val="en-GB"/>
        </w:rPr>
      </w:pPr>
      <w:r w:rsidRPr="00A7773F">
        <w:rPr>
          <w:lang w:val="en-GB"/>
        </w:rPr>
        <w:t>The ADC characterization results are divided into the normal electr</w:t>
      </w:r>
      <w:r w:rsidR="00454FEA">
        <w:rPr>
          <w:lang w:val="en-GB"/>
        </w:rPr>
        <w:t>ical</w:t>
      </w:r>
      <w:r w:rsidRPr="00A7773F">
        <w:rPr>
          <w:lang w:val="en-GB"/>
        </w:rPr>
        <w:t xml:space="preserve"> measurement and the irradiation test. The ADC is first characterized without irradiation for its static and dynamic performance</w:t>
      </w:r>
      <w:r>
        <w:rPr>
          <w:lang w:val="en-GB"/>
        </w:rPr>
        <w:t xml:space="preserve">. </w:t>
      </w:r>
      <w:r w:rsidRPr="00A7773F">
        <w:rPr>
          <w:lang w:val="en-GB"/>
        </w:rPr>
        <w:t xml:space="preserve">Then, the test chips were irradiated with a pulsed laser to characterize the </w:t>
      </w:r>
      <w:r>
        <w:rPr>
          <w:lang w:val="en-GB"/>
        </w:rPr>
        <w:t>SEE</w:t>
      </w:r>
      <w:r w:rsidRPr="00A7773F">
        <w:rPr>
          <w:lang w:val="en-GB"/>
        </w:rPr>
        <w:t xml:space="preserve"> sensitivity through Two-Photon Absorption (TPA) and </w:t>
      </w:r>
      <w:r>
        <w:rPr>
          <w:lang w:val="en-GB"/>
        </w:rPr>
        <w:t>TID</w:t>
      </w:r>
      <w:r w:rsidRPr="00A7773F">
        <w:rPr>
          <w:lang w:val="en-GB"/>
        </w:rPr>
        <w:t xml:space="preserve"> sensitivity through X-rays. Both radiation characterizations were performed at the </w:t>
      </w:r>
      <w:proofErr w:type="gramStart"/>
      <w:r w:rsidRPr="00A7773F">
        <w:rPr>
          <w:lang w:val="en-GB"/>
        </w:rPr>
        <w:t>RELY</w:t>
      </w:r>
      <w:proofErr w:type="gramEnd"/>
      <w:r w:rsidRPr="00A7773F">
        <w:rPr>
          <w:lang w:val="en-GB"/>
        </w:rPr>
        <w:t xml:space="preserve"> Lab in KU Leuven, Geel, Belgium.</w:t>
      </w:r>
      <w:r w:rsidR="000C149B">
        <w:rPr>
          <w:lang w:val="en-GB"/>
        </w:rPr>
        <w:t xml:space="preserve"> Detailed test results will be demonstrated in the final paper.</w:t>
      </w:r>
    </w:p>
    <w:p w14:paraId="3EC78650" w14:textId="087D532E" w:rsidR="00EA5F4C" w:rsidRDefault="00EA5F4C" w:rsidP="00AC6319">
      <w:pPr>
        <w:rPr>
          <w:lang w:val="en-GB"/>
        </w:rPr>
      </w:pPr>
      <w:r w:rsidRPr="3471FCDA">
        <w:rPr>
          <w:lang w:val="en-GB"/>
        </w:rPr>
        <w:t>References:</w:t>
      </w:r>
    </w:p>
    <w:p w14:paraId="11BD2F08" w14:textId="77777777" w:rsidR="002B416B" w:rsidRDefault="5F954821" w:rsidP="00414ED7">
      <w:pPr>
        <w:spacing w:before="40" w:after="160" w:line="276" w:lineRule="auto"/>
        <w:jc w:val="both"/>
        <w:rPr>
          <w:rFonts w:ascii="Calibri" w:eastAsia="SimHei" w:hAnsi="Calibri" w:cs="Calibri"/>
          <w:color w:val="000000"/>
          <w:sz w:val="21"/>
          <w:szCs w:val="21"/>
          <w:lang w:val="en-GB"/>
        </w:rPr>
      </w:pPr>
      <w:r w:rsidRPr="00FE17DF">
        <w:rPr>
          <w:rFonts w:ascii="Calibri" w:eastAsia="SimHei" w:hAnsi="Calibri" w:cs="Calibri"/>
          <w:color w:val="000000"/>
          <w:w w:val="105"/>
          <w:kern w:val="20"/>
          <w:sz w:val="21"/>
          <w:szCs w:val="21"/>
          <w:lang w:val="en-GB"/>
        </w:rPr>
        <w:t>[1]</w:t>
      </w:r>
      <w:r w:rsidR="001F676D" w:rsidRPr="00FE17DF">
        <w:rPr>
          <w:rFonts w:ascii="Calibri" w:eastAsia="SimHei" w:hAnsi="Calibri" w:cs="Calibri"/>
          <w:color w:val="000000"/>
          <w:w w:val="105"/>
          <w:kern w:val="20"/>
          <w:sz w:val="21"/>
          <w:szCs w:val="21"/>
          <w:lang w:val="en-GB"/>
        </w:rPr>
        <w:t xml:space="preserve"> </w:t>
      </w:r>
      <w:r w:rsidR="001F676D" w:rsidRPr="00FE17DF">
        <w:rPr>
          <w:rFonts w:ascii="Calibri" w:eastAsia="SimHei" w:hAnsi="Calibri" w:cs="Calibri"/>
          <w:color w:val="000000"/>
          <w:sz w:val="21"/>
          <w:szCs w:val="21"/>
          <w:lang w:val="en-GB"/>
        </w:rPr>
        <w:t xml:space="preserve">D. Van de Burgwal, </w:t>
      </w:r>
      <w:r w:rsidR="002B416B" w:rsidRPr="00FE17DF">
        <w:rPr>
          <w:rFonts w:ascii="Calibri" w:eastAsia="SimHei" w:hAnsi="Calibri" w:cs="Calibri"/>
          <w:color w:val="000000"/>
          <w:sz w:val="21"/>
          <w:szCs w:val="21"/>
          <w:lang w:val="en-GB"/>
        </w:rPr>
        <w:t>et al.,</w:t>
      </w:r>
      <w:r w:rsidR="001F676D" w:rsidRPr="00FE17DF">
        <w:rPr>
          <w:rFonts w:ascii="Calibri" w:eastAsia="SimHei" w:hAnsi="Calibri" w:cs="Calibri"/>
          <w:color w:val="000000"/>
          <w:sz w:val="21"/>
          <w:szCs w:val="21"/>
          <w:lang w:val="en-GB"/>
        </w:rPr>
        <w:t xml:space="preserve"> “Validation, characterization and irradiation testing of the DARE65T platform,” in 9th International Workshop on Analogue and Mixed-Signal Integrated Circuits for Space Applications (AMICSA)</w:t>
      </w:r>
      <w:r w:rsidR="002B416B" w:rsidRPr="00FE17DF">
        <w:rPr>
          <w:rFonts w:ascii="Calibri" w:eastAsia="SimHei" w:hAnsi="Calibri" w:cs="Calibri"/>
          <w:color w:val="000000"/>
          <w:sz w:val="21"/>
          <w:szCs w:val="21"/>
          <w:lang w:val="en-GB"/>
        </w:rPr>
        <w:t>,</w:t>
      </w:r>
      <w:r w:rsidR="001F676D" w:rsidRPr="00FE17DF">
        <w:rPr>
          <w:rFonts w:ascii="Calibri" w:eastAsia="SimHei" w:hAnsi="Calibri" w:cs="Calibri"/>
          <w:color w:val="000000"/>
          <w:sz w:val="21"/>
          <w:szCs w:val="21"/>
          <w:lang w:val="en-GB"/>
        </w:rPr>
        <w:t xml:space="preserve"> January 8, 2024, Jun. 2022, pp. 1–5.</w:t>
      </w:r>
    </w:p>
    <w:p w14:paraId="4AECCD33" w14:textId="76101F0B" w:rsidR="00EA5F4C" w:rsidRPr="002B416B" w:rsidRDefault="00EA5F4C" w:rsidP="00414ED7">
      <w:pPr>
        <w:spacing w:before="40" w:after="160" w:line="276" w:lineRule="auto"/>
        <w:jc w:val="both"/>
        <w:rPr>
          <w:rFonts w:ascii="Calibri" w:eastAsia="SimHei" w:hAnsi="Calibri" w:cs="Calibri"/>
          <w:color w:val="000000"/>
          <w:w w:val="105"/>
          <w:kern w:val="20"/>
          <w:sz w:val="21"/>
          <w:szCs w:val="21"/>
          <w:lang w:val="en-GB"/>
        </w:rPr>
      </w:pPr>
      <w:r w:rsidRPr="00FE17DF">
        <w:rPr>
          <w:rFonts w:ascii="Calibri" w:eastAsia="SimHei" w:hAnsi="Calibri" w:cs="Calibri"/>
          <w:color w:val="000000"/>
          <w:w w:val="105"/>
          <w:kern w:val="20"/>
          <w:sz w:val="21"/>
          <w:szCs w:val="21"/>
          <w:lang w:val="en-GB"/>
        </w:rPr>
        <w:lastRenderedPageBreak/>
        <w:t>[</w:t>
      </w:r>
      <w:r w:rsidR="281805CA" w:rsidRPr="00FE17DF">
        <w:rPr>
          <w:rFonts w:ascii="Calibri" w:eastAsia="SimHei" w:hAnsi="Calibri" w:cs="Calibri"/>
          <w:color w:val="000000"/>
          <w:w w:val="105"/>
          <w:kern w:val="20"/>
          <w:sz w:val="21"/>
          <w:szCs w:val="21"/>
          <w:lang w:val="en-GB"/>
        </w:rPr>
        <w:t>2</w:t>
      </w:r>
      <w:r w:rsidRPr="00FE17DF">
        <w:rPr>
          <w:rFonts w:ascii="Calibri" w:eastAsia="SimHei" w:hAnsi="Calibri" w:cs="Calibri"/>
          <w:color w:val="000000"/>
          <w:w w:val="105"/>
          <w:kern w:val="20"/>
          <w:sz w:val="21"/>
          <w:szCs w:val="21"/>
          <w:lang w:val="en-GB"/>
        </w:rPr>
        <w:t xml:space="preserve">] </w:t>
      </w:r>
      <w:r w:rsidR="00E91034" w:rsidRPr="00FE17DF">
        <w:rPr>
          <w:rFonts w:ascii="Calibri" w:eastAsia="SimHei" w:hAnsi="Calibri" w:cs="Calibri"/>
          <w:color w:val="000000"/>
          <w:w w:val="105"/>
          <w:kern w:val="20"/>
          <w:sz w:val="21"/>
          <w:szCs w:val="21"/>
          <w:lang w:val="en-GB"/>
        </w:rPr>
        <w:t xml:space="preserve">Zheyi Li, </w:t>
      </w:r>
      <w:r w:rsidR="002B416B" w:rsidRPr="00FE17DF">
        <w:rPr>
          <w:rFonts w:ascii="Calibri" w:eastAsia="SimHei" w:hAnsi="Calibri" w:cs="Calibri"/>
          <w:color w:val="000000"/>
          <w:w w:val="105"/>
          <w:kern w:val="20"/>
          <w:sz w:val="21"/>
          <w:szCs w:val="21"/>
          <w:lang w:val="en-GB"/>
        </w:rPr>
        <w:t>et al.,</w:t>
      </w:r>
      <w:r w:rsidR="00E91034" w:rsidRPr="00FE17DF">
        <w:rPr>
          <w:rFonts w:ascii="Calibri" w:eastAsia="SimHei" w:hAnsi="Calibri" w:cs="Calibri"/>
          <w:color w:val="000000"/>
          <w:w w:val="105"/>
          <w:kern w:val="20"/>
          <w:sz w:val="21"/>
          <w:szCs w:val="21"/>
          <w:lang w:val="en-GB"/>
        </w:rPr>
        <w:t xml:space="preserve"> "An 80MS/s 70.79dB-SNDR 60.7fJ/conv-step Radiation-Tolerant Semi-Time-interleaved Pipelined-SAR ADC," 2024 IEEE Custom Integrated Circuits Conference (CICC), Denver, United States, 2024.</w:t>
      </w:r>
    </w:p>
    <w:sectPr w:rsidR="00EA5F4C" w:rsidRPr="002B416B" w:rsidSect="00B54716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7ADC" w14:textId="77777777" w:rsidR="00B54716" w:rsidRDefault="00B54716" w:rsidP="002D24FD">
      <w:r>
        <w:separator/>
      </w:r>
    </w:p>
  </w:endnote>
  <w:endnote w:type="continuationSeparator" w:id="0">
    <w:p w14:paraId="4F712734" w14:textId="77777777" w:rsidR="00B54716" w:rsidRDefault="00B54716" w:rsidP="002D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NimbusRomNo9L-Regu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2B3B" w14:textId="7154E6A2" w:rsidR="002D24FD" w:rsidRDefault="00F243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20D4C1" wp14:editId="47FF9525">
              <wp:simplePos x="0" y="0"/>
              <wp:positionH relativeFrom="page">
                <wp:posOffset>0</wp:posOffset>
              </wp:positionH>
              <wp:positionV relativeFrom="page">
                <wp:posOffset>10064115</wp:posOffset>
              </wp:positionV>
              <wp:extent cx="7556500" cy="130175"/>
              <wp:effectExtent l="0" t="0" r="0" b="3175"/>
              <wp:wrapNone/>
              <wp:docPr id="4" name="MSIPCM926044bd87d74cca2bf5eaf5" descr="{&quot;HashCode&quot;:-4420054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3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42632C" w14:textId="32AE6069" w:rsidR="00F2430B" w:rsidRPr="00F2430B" w:rsidRDefault="00F2430B" w:rsidP="00F2430B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2430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4191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0D4C1" id="_x0000_t202" coordsize="21600,21600" o:spt="202" path="m,l,21600r21600,l21600,xe">
              <v:stroke joinstyle="miter"/>
              <v:path gradientshapeok="t" o:connecttype="rect"/>
            </v:shapetype>
            <v:shape id="MSIPCM926044bd87d74cca2bf5eaf5" o:spid="_x0000_s1026" type="#_x0000_t202" alt="{&quot;HashCode&quot;:-44200546,&quot;Height&quot;:842.0,&quot;Width&quot;:595.0,&quot;Placement&quot;:&quot;Footer&quot;,&quot;Index&quot;:&quot;Primary&quot;,&quot;Section&quot;:1,&quot;Top&quot;:0.0,&quot;Left&quot;:0.0}" style="position:absolute;margin-left:0;margin-top:792.45pt;width:595pt;height:10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" o:allowincell="f" filled="f" stroked="f" strokeweight=".5pt">
              <v:textbox style="mso-fit-shape-to-text:t" inset=",0,33pt,0">
                <w:txbxContent>
                  <w:p w14:paraId="5842632C" w14:textId="32AE6069" w:rsidR="00F2430B" w:rsidRPr="00F2430B" w:rsidRDefault="00F2430B" w:rsidP="00F2430B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2430B">
                      <w:rPr>
                        <w:rFonts w:ascii="Calibri" w:hAnsi="Calibri" w:cs="Calibri"/>
                        <w:color w:val="000000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F060" w14:textId="77777777" w:rsidR="00B54716" w:rsidRDefault="00B54716" w:rsidP="002D24FD">
      <w:r>
        <w:separator/>
      </w:r>
    </w:p>
  </w:footnote>
  <w:footnote w:type="continuationSeparator" w:id="0">
    <w:p w14:paraId="07D79F75" w14:textId="77777777" w:rsidR="00B54716" w:rsidRDefault="00B54716" w:rsidP="002D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0BD1"/>
    <w:multiLevelType w:val="hybridMultilevel"/>
    <w:tmpl w:val="287EF064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975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zM7U0MTIxMTA1NTBW0lEKTi0uzszPAykwrQUAVvBnKiwAAAA="/>
  </w:docVars>
  <w:rsids>
    <w:rsidRoot w:val="00FE7A60"/>
    <w:rsid w:val="00044BF7"/>
    <w:rsid w:val="000610E8"/>
    <w:rsid w:val="00062DFC"/>
    <w:rsid w:val="00067DB3"/>
    <w:rsid w:val="000A3832"/>
    <w:rsid w:val="000A443B"/>
    <w:rsid w:val="000C149B"/>
    <w:rsid w:val="000C2384"/>
    <w:rsid w:val="000C64A7"/>
    <w:rsid w:val="000C7E05"/>
    <w:rsid w:val="000F4459"/>
    <w:rsid w:val="000F5958"/>
    <w:rsid w:val="001027EF"/>
    <w:rsid w:val="00107154"/>
    <w:rsid w:val="0012018F"/>
    <w:rsid w:val="001232A1"/>
    <w:rsid w:val="00125CBD"/>
    <w:rsid w:val="001512B5"/>
    <w:rsid w:val="001718A6"/>
    <w:rsid w:val="0017539F"/>
    <w:rsid w:val="001A7CB0"/>
    <w:rsid w:val="001C4AAB"/>
    <w:rsid w:val="001E622B"/>
    <w:rsid w:val="001F676D"/>
    <w:rsid w:val="00212923"/>
    <w:rsid w:val="00220C87"/>
    <w:rsid w:val="0022149E"/>
    <w:rsid w:val="0022205C"/>
    <w:rsid w:val="002B416B"/>
    <w:rsid w:val="002C7EAA"/>
    <w:rsid w:val="002D24FD"/>
    <w:rsid w:val="002E5E2D"/>
    <w:rsid w:val="002F2846"/>
    <w:rsid w:val="00305C9F"/>
    <w:rsid w:val="003227F2"/>
    <w:rsid w:val="00322F00"/>
    <w:rsid w:val="003839A6"/>
    <w:rsid w:val="003979C9"/>
    <w:rsid w:val="003D00B4"/>
    <w:rsid w:val="0040342D"/>
    <w:rsid w:val="004065BC"/>
    <w:rsid w:val="00413675"/>
    <w:rsid w:val="00414ED7"/>
    <w:rsid w:val="00442085"/>
    <w:rsid w:val="00443031"/>
    <w:rsid w:val="00454FEA"/>
    <w:rsid w:val="004778D2"/>
    <w:rsid w:val="004A37F2"/>
    <w:rsid w:val="004A6CC2"/>
    <w:rsid w:val="00522C98"/>
    <w:rsid w:val="00533595"/>
    <w:rsid w:val="00547C79"/>
    <w:rsid w:val="0056168B"/>
    <w:rsid w:val="005D1D13"/>
    <w:rsid w:val="005F09BD"/>
    <w:rsid w:val="005F792C"/>
    <w:rsid w:val="00607749"/>
    <w:rsid w:val="006473A2"/>
    <w:rsid w:val="00653459"/>
    <w:rsid w:val="00655A0C"/>
    <w:rsid w:val="006A7176"/>
    <w:rsid w:val="006A7B67"/>
    <w:rsid w:val="007100D1"/>
    <w:rsid w:val="00721BFF"/>
    <w:rsid w:val="00721FDF"/>
    <w:rsid w:val="00736662"/>
    <w:rsid w:val="007A228D"/>
    <w:rsid w:val="007C02CD"/>
    <w:rsid w:val="007E0430"/>
    <w:rsid w:val="007E5115"/>
    <w:rsid w:val="007F285B"/>
    <w:rsid w:val="008101D5"/>
    <w:rsid w:val="008130EC"/>
    <w:rsid w:val="00864FE0"/>
    <w:rsid w:val="008949EF"/>
    <w:rsid w:val="008D1150"/>
    <w:rsid w:val="008E157D"/>
    <w:rsid w:val="008E23F2"/>
    <w:rsid w:val="008F2394"/>
    <w:rsid w:val="00902DAB"/>
    <w:rsid w:val="00962AEE"/>
    <w:rsid w:val="00976FBA"/>
    <w:rsid w:val="009B5D96"/>
    <w:rsid w:val="00A14A16"/>
    <w:rsid w:val="00A15F13"/>
    <w:rsid w:val="00A54AF6"/>
    <w:rsid w:val="00A56D3B"/>
    <w:rsid w:val="00A7773F"/>
    <w:rsid w:val="00A96C55"/>
    <w:rsid w:val="00AC01A1"/>
    <w:rsid w:val="00AC37AF"/>
    <w:rsid w:val="00AC6319"/>
    <w:rsid w:val="00AE23DC"/>
    <w:rsid w:val="00AF0718"/>
    <w:rsid w:val="00B35C1A"/>
    <w:rsid w:val="00B4767A"/>
    <w:rsid w:val="00B54716"/>
    <w:rsid w:val="00B616D7"/>
    <w:rsid w:val="00B86FA2"/>
    <w:rsid w:val="00B96E9B"/>
    <w:rsid w:val="00BA0A4C"/>
    <w:rsid w:val="00BA12B6"/>
    <w:rsid w:val="00BA1AE1"/>
    <w:rsid w:val="00BA20DE"/>
    <w:rsid w:val="00BD4C25"/>
    <w:rsid w:val="00C11089"/>
    <w:rsid w:val="00C15BF4"/>
    <w:rsid w:val="00C172D7"/>
    <w:rsid w:val="00C275B4"/>
    <w:rsid w:val="00C33DD0"/>
    <w:rsid w:val="00C545AC"/>
    <w:rsid w:val="00CD77F3"/>
    <w:rsid w:val="00CE3230"/>
    <w:rsid w:val="00CE5456"/>
    <w:rsid w:val="00D14BEC"/>
    <w:rsid w:val="00D40BCF"/>
    <w:rsid w:val="00D7109E"/>
    <w:rsid w:val="00D76A5C"/>
    <w:rsid w:val="00DA0C82"/>
    <w:rsid w:val="00DA5430"/>
    <w:rsid w:val="00DC4AAD"/>
    <w:rsid w:val="00DE1444"/>
    <w:rsid w:val="00DE558C"/>
    <w:rsid w:val="00E23606"/>
    <w:rsid w:val="00E33ABC"/>
    <w:rsid w:val="00E76AE2"/>
    <w:rsid w:val="00E80DD5"/>
    <w:rsid w:val="00E91034"/>
    <w:rsid w:val="00E9514A"/>
    <w:rsid w:val="00EA1511"/>
    <w:rsid w:val="00EA5F4C"/>
    <w:rsid w:val="00EC41E6"/>
    <w:rsid w:val="00EE0BE6"/>
    <w:rsid w:val="00F2430B"/>
    <w:rsid w:val="00F3624E"/>
    <w:rsid w:val="00FE17DF"/>
    <w:rsid w:val="00FE7A60"/>
    <w:rsid w:val="00FF15C7"/>
    <w:rsid w:val="02F89E02"/>
    <w:rsid w:val="03E639D7"/>
    <w:rsid w:val="04B9E401"/>
    <w:rsid w:val="093F8E53"/>
    <w:rsid w:val="165332EE"/>
    <w:rsid w:val="192B414E"/>
    <w:rsid w:val="1C3A9426"/>
    <w:rsid w:val="23726183"/>
    <w:rsid w:val="272A4E24"/>
    <w:rsid w:val="281805CA"/>
    <w:rsid w:val="3471FCDA"/>
    <w:rsid w:val="3F871F03"/>
    <w:rsid w:val="50B933B9"/>
    <w:rsid w:val="5705D26E"/>
    <w:rsid w:val="5D377311"/>
    <w:rsid w:val="5F954821"/>
    <w:rsid w:val="663DFCFE"/>
    <w:rsid w:val="6EBAD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3204F"/>
  <w14:defaultImageDpi w14:val="32767"/>
  <w15:chartTrackingRefBased/>
  <w15:docId w15:val="{22290E24-A2C5-435D-9670-5C3D5F77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6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5AC"/>
    <w:pPr>
      <w:ind w:left="720"/>
      <w:contextualSpacing/>
    </w:pPr>
  </w:style>
  <w:style w:type="character" w:customStyle="1" w:styleId="fontstyle01">
    <w:name w:val="fontstyle01"/>
    <w:basedOn w:val="DefaultParagraphFont"/>
    <w:rsid w:val="00A56D3B"/>
    <w:rPr>
      <w:rFonts w:ascii="NimbusRomNo9L-Regu" w:hAnsi="NimbusRomNo9L-Regu" w:hint="default"/>
      <w:b w:val="0"/>
      <w:bCs w:val="0"/>
      <w:i w:val="0"/>
      <w:iCs w:val="0"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D96"/>
    <w:pPr>
      <w:numPr>
        <w:ilvl w:val="1"/>
      </w:numPr>
      <w:spacing w:after="160"/>
    </w:pPr>
    <w:rPr>
      <w:color w:val="81817F" w:themeColor="text1" w:themeTint="A5"/>
      <w:spacing w:val="15"/>
      <w:sz w:val="22"/>
      <w:szCs w:val="22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B5D96"/>
    <w:rPr>
      <w:color w:val="81817F" w:themeColor="text1" w:themeTint="A5"/>
      <w:spacing w:val="15"/>
      <w:sz w:val="22"/>
      <w:szCs w:val="22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9B5D96"/>
    <w:rPr>
      <w:i/>
      <w:iCs/>
      <w:color w:val="6D6D6B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2D2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4FD"/>
  </w:style>
  <w:style w:type="paragraph" w:styleId="Footer">
    <w:name w:val="footer"/>
    <w:basedOn w:val="Normal"/>
    <w:link w:val="FooterChar"/>
    <w:uiPriority w:val="99"/>
    <w:unhideWhenUsed/>
    <w:rsid w:val="002D2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4FD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5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2016 public GS">
  <a:themeElements>
    <a:clrScheme name="imec rebranded">
      <a:dk1>
        <a:srgbClr val="3C3C3B"/>
      </a:dk1>
      <a:lt1>
        <a:srgbClr val="FFFFFF"/>
      </a:lt1>
      <a:dk2>
        <a:srgbClr val="3F98BD"/>
      </a:dk2>
      <a:lt2>
        <a:srgbClr val="929497"/>
      </a:lt2>
      <a:accent1>
        <a:srgbClr val="90298D"/>
      </a:accent1>
      <a:accent2>
        <a:srgbClr val="36337D"/>
      </a:accent2>
      <a:accent3>
        <a:srgbClr val="1582BE"/>
      </a:accent3>
      <a:accent4>
        <a:srgbClr val="99BDE4"/>
      </a:accent4>
      <a:accent5>
        <a:srgbClr val="C778AD"/>
      </a:accent5>
      <a:accent6>
        <a:srgbClr val="52BDC2"/>
      </a:accent6>
      <a:hlink>
        <a:srgbClr val="3F98BD"/>
      </a:hlink>
      <a:folHlink>
        <a:srgbClr val="2D6C8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6"/>
            </a:gs>
            <a:gs pos="60000">
              <a:schemeClr val="tx2"/>
            </a:gs>
          </a:gsLst>
          <a:lin ang="2700000" scaled="0"/>
        </a:gradFill>
        <a:ln>
          <a:noFill/>
        </a:ln>
        <a:effectLst/>
      </a:spPr>
      <a:bodyPr rtlCol="0" anchor="ctr"/>
      <a:lstStyle>
        <a:defPPr algn="ctr">
          <a:defRPr sz="1400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 cmpd="sng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ctr">
          <a:defRPr sz="12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2016 public GS" id="{DA303D92-9DCE-7A47-8A74-9F755E1B69BF}" vid="{88B33686-34E0-7A43-878E-C04009FDA53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F2ED814-EE83-410D-8493-E94410D7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2976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Zheyi Li (----)</dc:creator>
  <cp:keywords/>
  <dc:description/>
  <cp:lastModifiedBy>Zheyi Li (imec)</cp:lastModifiedBy>
  <cp:revision>2</cp:revision>
  <cp:lastPrinted>2022-03-11T15:49:00Z</cp:lastPrinted>
  <dcterms:created xsi:type="dcterms:W3CDTF">2024-02-22T11:52:00Z</dcterms:created>
  <dcterms:modified xsi:type="dcterms:W3CDTF">2024-02-22T11:52:00Z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2f1027-543b-4592-b1f7-59305f7d44ab_Enabled">
    <vt:lpwstr>true</vt:lpwstr>
  </property>
  <property fmtid="{D5CDD505-2E9C-101B-9397-08002B2CF9AE}" pid="3" name="MSIP_Label_742f1027-543b-4592-b1f7-59305f7d44ab_SetDate">
    <vt:lpwstr>2022-03-11T15:48:57Z</vt:lpwstr>
  </property>
  <property fmtid="{D5CDD505-2E9C-101B-9397-08002B2CF9AE}" pid="4" name="MSIP_Label_742f1027-543b-4592-b1f7-59305f7d44ab_Method">
    <vt:lpwstr>Privileged</vt:lpwstr>
  </property>
  <property fmtid="{D5CDD505-2E9C-101B-9397-08002B2CF9AE}" pid="5" name="MSIP_Label_742f1027-543b-4592-b1f7-59305f7d44ab_Name">
    <vt:lpwstr>Public - General - Marked</vt:lpwstr>
  </property>
  <property fmtid="{D5CDD505-2E9C-101B-9397-08002B2CF9AE}" pid="6" name="MSIP_Label_742f1027-543b-4592-b1f7-59305f7d44ab_SiteId">
    <vt:lpwstr>a72d5a72-25ee-40f0-9bd1-067cb5b770d4</vt:lpwstr>
  </property>
  <property fmtid="{D5CDD505-2E9C-101B-9397-08002B2CF9AE}" pid="7" name="MSIP_Label_742f1027-543b-4592-b1f7-59305f7d44ab_ActionId">
    <vt:lpwstr>5376e547-b2c7-4103-8c91-223bf2854a1c</vt:lpwstr>
  </property>
  <property fmtid="{D5CDD505-2E9C-101B-9397-08002B2CF9AE}" pid="8" name="MSIP_Label_742f1027-543b-4592-b1f7-59305f7d44ab_ContentBits">
    <vt:lpwstr>2</vt:lpwstr>
  </property>
  <property fmtid="{D5CDD505-2E9C-101B-9397-08002B2CF9AE}" pid="9" name="GrammarlyDocumentId">
    <vt:lpwstr>5bfd7cff44855c34ae22ca8a6eb0c93c25c097df8d7284d619950cb6382c8db4</vt:lpwstr>
  </property>
</Properties>
</file>